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8D" w:rsidRDefault="003F458D" w:rsidP="00990F74">
      <w:pPr>
        <w:spacing w:after="0" w:line="360" w:lineRule="auto"/>
        <w:jc w:val="center"/>
        <w:rPr>
          <w:rFonts w:ascii="Arial Narrow" w:hAnsi="Arial Narrow"/>
          <w:b/>
          <w:color w:val="000000"/>
          <w:szCs w:val="24"/>
        </w:rPr>
      </w:pPr>
      <w:bookmarkStart w:id="0" w:name="_GoBack"/>
      <w:bookmarkEnd w:id="0"/>
    </w:p>
    <w:p w:rsidR="00380876" w:rsidRDefault="00380876" w:rsidP="00380876">
      <w:pPr>
        <w:jc w:val="center"/>
        <w:rPr>
          <w:rFonts w:ascii="Arial Narrow" w:hAnsi="Arial Narrow"/>
          <w:b/>
          <w:color w:val="000000"/>
          <w:sz w:val="56"/>
          <w:szCs w:val="56"/>
        </w:rPr>
      </w:pPr>
    </w:p>
    <w:p w:rsidR="003F458D" w:rsidRDefault="003F458D" w:rsidP="00380876">
      <w:pPr>
        <w:jc w:val="center"/>
        <w:rPr>
          <w:rFonts w:ascii="Arial Narrow" w:hAnsi="Arial Narrow"/>
          <w:b/>
          <w:color w:val="000000"/>
          <w:sz w:val="56"/>
          <w:szCs w:val="56"/>
        </w:rPr>
      </w:pPr>
      <w:r w:rsidRPr="00380876">
        <w:rPr>
          <w:rFonts w:ascii="Arial Narrow" w:hAnsi="Arial Narrow"/>
          <w:b/>
          <w:color w:val="000000"/>
          <w:sz w:val="56"/>
          <w:szCs w:val="56"/>
        </w:rPr>
        <w:t>USTAWA</w:t>
      </w:r>
    </w:p>
    <w:p w:rsidR="00380876" w:rsidRPr="00380876" w:rsidRDefault="00380876" w:rsidP="00380876">
      <w:pPr>
        <w:jc w:val="center"/>
        <w:rPr>
          <w:rFonts w:ascii="Arial Narrow" w:hAnsi="Arial Narrow"/>
          <w:b/>
          <w:color w:val="000000"/>
          <w:sz w:val="56"/>
          <w:szCs w:val="56"/>
        </w:rPr>
      </w:pPr>
    </w:p>
    <w:p w:rsidR="003F458D" w:rsidRDefault="003F458D" w:rsidP="00380876">
      <w:pPr>
        <w:jc w:val="center"/>
        <w:rPr>
          <w:rFonts w:ascii="Arial Narrow" w:hAnsi="Arial Narrow"/>
          <w:b/>
          <w:color w:val="000000"/>
          <w:sz w:val="56"/>
          <w:szCs w:val="56"/>
        </w:rPr>
      </w:pPr>
      <w:r w:rsidRPr="00380876">
        <w:rPr>
          <w:rFonts w:ascii="Arial Narrow" w:hAnsi="Arial Narrow"/>
          <w:b/>
          <w:color w:val="000000"/>
          <w:sz w:val="56"/>
          <w:szCs w:val="56"/>
        </w:rPr>
        <w:t>z dnia 14 marca 2003 r.</w:t>
      </w:r>
    </w:p>
    <w:p w:rsidR="00380876" w:rsidRPr="00380876" w:rsidRDefault="00380876" w:rsidP="00380876">
      <w:pPr>
        <w:jc w:val="center"/>
        <w:rPr>
          <w:rFonts w:ascii="Arial Narrow" w:hAnsi="Arial Narrow"/>
          <w:b/>
          <w:color w:val="000000"/>
          <w:sz w:val="56"/>
          <w:szCs w:val="56"/>
        </w:rPr>
      </w:pPr>
    </w:p>
    <w:p w:rsidR="003F458D" w:rsidRPr="00380876" w:rsidRDefault="003F458D" w:rsidP="00380876">
      <w:pPr>
        <w:jc w:val="center"/>
        <w:rPr>
          <w:rFonts w:ascii="Arial Narrow" w:hAnsi="Arial Narrow"/>
          <w:b/>
          <w:color w:val="000000"/>
          <w:sz w:val="96"/>
          <w:szCs w:val="96"/>
        </w:rPr>
      </w:pPr>
      <w:r w:rsidRPr="00380876">
        <w:rPr>
          <w:rFonts w:ascii="Arial Narrow" w:hAnsi="Arial Narrow"/>
          <w:b/>
          <w:color w:val="000000"/>
          <w:sz w:val="96"/>
          <w:szCs w:val="96"/>
        </w:rPr>
        <w:t>O REFERENDUM OGÓLNOKRAJOWYM</w:t>
      </w:r>
    </w:p>
    <w:p w:rsidR="003F458D" w:rsidRDefault="003F458D" w:rsidP="00380876">
      <w:pPr>
        <w:jc w:val="center"/>
        <w:rPr>
          <w:rFonts w:ascii="Arial Narrow" w:hAnsi="Arial Narrow"/>
          <w:b/>
          <w:color w:val="000000"/>
          <w:sz w:val="32"/>
          <w:szCs w:val="32"/>
        </w:rPr>
      </w:pPr>
      <w:r w:rsidRPr="00380876">
        <w:rPr>
          <w:rFonts w:ascii="Arial Narrow" w:hAnsi="Arial Narrow"/>
          <w:b/>
          <w:color w:val="000000"/>
          <w:sz w:val="32"/>
          <w:szCs w:val="32"/>
        </w:rPr>
        <w:t>(stan prawny na dzień 17 sierpnia 2023 r.)</w:t>
      </w:r>
    </w:p>
    <w:p w:rsidR="008A3CB9" w:rsidRPr="00380876" w:rsidRDefault="008A3CB9" w:rsidP="00380876">
      <w:pPr>
        <w:jc w:val="center"/>
        <w:rPr>
          <w:rFonts w:ascii="Arial Narrow" w:hAnsi="Arial Narrow"/>
          <w:b/>
          <w:color w:val="000000"/>
          <w:sz w:val="32"/>
          <w:szCs w:val="32"/>
        </w:rPr>
      </w:pPr>
      <w:r>
        <w:rPr>
          <w:rFonts w:ascii="Arial Narrow" w:hAnsi="Arial Narrow"/>
          <w:b/>
          <w:color w:val="000000"/>
          <w:sz w:val="32"/>
          <w:szCs w:val="32"/>
        </w:rPr>
        <w:t>(wyciąg na wybory i referendum 15.10.2023 r.)</w:t>
      </w:r>
    </w:p>
    <w:p w:rsidR="003F458D" w:rsidRPr="00380876" w:rsidRDefault="003F458D" w:rsidP="00380876">
      <w:pPr>
        <w:jc w:val="center"/>
        <w:rPr>
          <w:rFonts w:ascii="Arial Narrow" w:hAnsi="Arial Narrow"/>
          <w:b/>
          <w:color w:val="000000"/>
          <w:sz w:val="56"/>
          <w:szCs w:val="56"/>
        </w:rPr>
      </w:pPr>
    </w:p>
    <w:p w:rsidR="00380876" w:rsidRDefault="00380876" w:rsidP="00380876">
      <w:pPr>
        <w:jc w:val="center"/>
        <w:rPr>
          <w:rFonts w:ascii="Arial Narrow" w:hAnsi="Arial Narrow"/>
          <w:b/>
          <w:color w:val="000000"/>
          <w:sz w:val="32"/>
          <w:szCs w:val="32"/>
        </w:rPr>
      </w:pPr>
    </w:p>
    <w:p w:rsidR="00380876" w:rsidRDefault="00380876" w:rsidP="00380876">
      <w:pPr>
        <w:jc w:val="center"/>
        <w:rPr>
          <w:rFonts w:ascii="Arial Narrow" w:hAnsi="Arial Narrow"/>
          <w:b/>
          <w:color w:val="000000"/>
          <w:sz w:val="32"/>
          <w:szCs w:val="32"/>
        </w:rPr>
      </w:pPr>
    </w:p>
    <w:p w:rsidR="00380876" w:rsidRDefault="00380876" w:rsidP="00380876">
      <w:pPr>
        <w:jc w:val="center"/>
        <w:rPr>
          <w:rFonts w:ascii="Arial Narrow" w:hAnsi="Arial Narrow"/>
          <w:b/>
          <w:color w:val="000000"/>
          <w:sz w:val="32"/>
          <w:szCs w:val="32"/>
        </w:rPr>
      </w:pPr>
    </w:p>
    <w:p w:rsidR="00380876" w:rsidRDefault="00380876" w:rsidP="00380876">
      <w:pPr>
        <w:jc w:val="center"/>
        <w:rPr>
          <w:rFonts w:ascii="Arial Narrow" w:hAnsi="Arial Narrow"/>
          <w:b/>
          <w:color w:val="000000"/>
          <w:sz w:val="32"/>
          <w:szCs w:val="32"/>
        </w:rPr>
      </w:pPr>
    </w:p>
    <w:p w:rsidR="00380876" w:rsidRDefault="00380876" w:rsidP="00380876">
      <w:pPr>
        <w:jc w:val="center"/>
        <w:rPr>
          <w:rFonts w:ascii="Arial Narrow" w:hAnsi="Arial Narrow"/>
          <w:b/>
          <w:color w:val="000000"/>
          <w:sz w:val="32"/>
          <w:szCs w:val="32"/>
        </w:rPr>
      </w:pPr>
    </w:p>
    <w:p w:rsidR="00380876" w:rsidRDefault="00380876" w:rsidP="00380876">
      <w:pPr>
        <w:jc w:val="center"/>
        <w:rPr>
          <w:rFonts w:ascii="Arial Narrow" w:hAnsi="Arial Narrow"/>
          <w:b/>
          <w:color w:val="000000"/>
          <w:sz w:val="32"/>
          <w:szCs w:val="32"/>
        </w:rPr>
      </w:pPr>
    </w:p>
    <w:p w:rsidR="003F458D" w:rsidRPr="00380876" w:rsidRDefault="003F458D" w:rsidP="00380876">
      <w:pPr>
        <w:jc w:val="center"/>
        <w:rPr>
          <w:rFonts w:ascii="Arial Narrow" w:hAnsi="Arial Narrow"/>
          <w:b/>
          <w:color w:val="000000"/>
          <w:sz w:val="32"/>
          <w:szCs w:val="32"/>
        </w:rPr>
      </w:pPr>
      <w:r w:rsidRPr="00380876">
        <w:rPr>
          <w:rFonts w:ascii="Arial Narrow" w:hAnsi="Arial Narrow"/>
          <w:b/>
          <w:color w:val="000000"/>
          <w:sz w:val="32"/>
          <w:szCs w:val="32"/>
        </w:rPr>
        <w:t>Tekst ujednolicony w Krajowym Biurze Wyborczym</w:t>
      </w:r>
    </w:p>
    <w:p w:rsidR="003F458D" w:rsidRDefault="003F458D">
      <w:pPr>
        <w:rPr>
          <w:rFonts w:ascii="Arial Narrow" w:hAnsi="Arial Narrow"/>
          <w:b/>
          <w:color w:val="000000"/>
          <w:szCs w:val="24"/>
        </w:rPr>
      </w:pPr>
      <w:r>
        <w:rPr>
          <w:rFonts w:ascii="Arial Narrow" w:hAnsi="Arial Narrow"/>
          <w:b/>
          <w:color w:val="000000"/>
          <w:szCs w:val="24"/>
        </w:rPr>
        <w:br w:type="page"/>
      </w:r>
    </w:p>
    <w:p w:rsidR="003F458D" w:rsidRDefault="003F458D" w:rsidP="00380876">
      <w:pPr>
        <w:jc w:val="center"/>
        <w:rPr>
          <w:rFonts w:ascii="Arial Narrow" w:hAnsi="Arial Narrow"/>
          <w:b/>
          <w:color w:val="000000"/>
          <w:szCs w:val="24"/>
        </w:rPr>
      </w:pPr>
      <w:r>
        <w:rPr>
          <w:rFonts w:ascii="Arial Narrow" w:hAnsi="Arial Narrow"/>
          <w:b/>
          <w:color w:val="000000"/>
          <w:szCs w:val="24"/>
        </w:rPr>
        <w:lastRenderedPageBreak/>
        <w:t>Spis treści</w:t>
      </w:r>
    </w:p>
    <w:p w:rsidR="003F458D" w:rsidRDefault="003F458D" w:rsidP="003F458D">
      <w:pPr>
        <w:tabs>
          <w:tab w:val="right" w:pos="10065"/>
        </w:tabs>
        <w:rPr>
          <w:rFonts w:ascii="Arial Narrow" w:hAnsi="Arial Narrow"/>
          <w:b/>
          <w:color w:val="000000"/>
          <w:szCs w:val="24"/>
        </w:rPr>
      </w:pPr>
      <w:r>
        <w:rPr>
          <w:rFonts w:ascii="Arial Narrow" w:hAnsi="Arial Narrow"/>
          <w:b/>
          <w:color w:val="000000"/>
          <w:szCs w:val="24"/>
        </w:rPr>
        <w:tab/>
      </w:r>
      <w:proofErr w:type="spellStart"/>
      <w:r>
        <w:rPr>
          <w:rFonts w:ascii="Arial Narrow" w:hAnsi="Arial Narrow"/>
          <w:b/>
          <w:color w:val="000000"/>
          <w:szCs w:val="24"/>
        </w:rPr>
        <w:t>Str</w:t>
      </w:r>
      <w:proofErr w:type="spellEnd"/>
    </w:p>
    <w:p w:rsidR="003F458D" w:rsidRPr="00380876" w:rsidRDefault="003F458D" w:rsidP="003F458D">
      <w:pPr>
        <w:tabs>
          <w:tab w:val="right" w:pos="10065"/>
        </w:tabs>
        <w:rPr>
          <w:rFonts w:ascii="Arial Narrow" w:hAnsi="Arial Narrow"/>
          <w:color w:val="000000"/>
          <w:szCs w:val="24"/>
        </w:rPr>
      </w:pPr>
      <w:r>
        <w:rPr>
          <w:rFonts w:ascii="Arial Narrow" w:hAnsi="Arial Narrow"/>
          <w:b/>
          <w:color w:val="000000"/>
          <w:szCs w:val="24"/>
        </w:rPr>
        <w:t xml:space="preserve">Rozdział 1. </w:t>
      </w:r>
      <w:r w:rsidRPr="00380876">
        <w:rPr>
          <w:rFonts w:ascii="Arial Narrow" w:hAnsi="Arial Narrow"/>
          <w:color w:val="000000"/>
          <w:szCs w:val="24"/>
        </w:rPr>
        <w:t>Przepisy ogólne</w:t>
      </w:r>
      <w:r w:rsidRPr="00380876">
        <w:rPr>
          <w:rFonts w:ascii="Arial Narrow" w:hAnsi="Arial Narrow"/>
          <w:color w:val="000000"/>
          <w:szCs w:val="24"/>
        </w:rPr>
        <w:tab/>
        <w:t>3</w:t>
      </w:r>
    </w:p>
    <w:p w:rsidR="003F458D" w:rsidRPr="00380876" w:rsidRDefault="003F458D" w:rsidP="003F458D">
      <w:pPr>
        <w:tabs>
          <w:tab w:val="right" w:pos="10065"/>
        </w:tabs>
        <w:rPr>
          <w:rFonts w:ascii="Arial Narrow" w:hAnsi="Arial Narrow"/>
          <w:color w:val="000000"/>
          <w:szCs w:val="24"/>
        </w:rPr>
      </w:pPr>
      <w:r>
        <w:rPr>
          <w:rFonts w:ascii="Arial Narrow" w:hAnsi="Arial Narrow"/>
          <w:b/>
          <w:color w:val="000000"/>
          <w:szCs w:val="24"/>
        </w:rPr>
        <w:t xml:space="preserve">Rozdział 2. </w:t>
      </w:r>
      <w:r w:rsidRPr="00380876">
        <w:rPr>
          <w:rFonts w:ascii="Arial Narrow" w:hAnsi="Arial Narrow"/>
          <w:color w:val="000000"/>
          <w:szCs w:val="24"/>
        </w:rPr>
        <w:t>Organy do spraw referendum</w:t>
      </w:r>
      <w:r w:rsidRPr="00380876">
        <w:rPr>
          <w:rFonts w:ascii="Arial Narrow" w:hAnsi="Arial Narrow"/>
          <w:color w:val="000000"/>
          <w:szCs w:val="24"/>
        </w:rPr>
        <w:tab/>
      </w:r>
      <w:r w:rsidR="00AD18B6">
        <w:rPr>
          <w:rFonts w:ascii="Arial Narrow" w:hAnsi="Arial Narrow"/>
          <w:color w:val="000000"/>
          <w:szCs w:val="24"/>
        </w:rPr>
        <w:t>3</w:t>
      </w:r>
    </w:p>
    <w:p w:rsidR="003F458D" w:rsidRPr="00380876" w:rsidRDefault="003F458D" w:rsidP="003F458D">
      <w:pPr>
        <w:tabs>
          <w:tab w:val="right" w:pos="10065"/>
        </w:tabs>
        <w:rPr>
          <w:rFonts w:ascii="Arial Narrow" w:hAnsi="Arial Narrow"/>
          <w:color w:val="000000"/>
          <w:szCs w:val="24"/>
        </w:rPr>
      </w:pPr>
      <w:r>
        <w:rPr>
          <w:rFonts w:ascii="Arial Narrow" w:hAnsi="Arial Narrow"/>
          <w:b/>
          <w:color w:val="000000"/>
          <w:szCs w:val="24"/>
        </w:rPr>
        <w:t xml:space="preserve">Rozdział 3. </w:t>
      </w:r>
      <w:r w:rsidRPr="00380876">
        <w:rPr>
          <w:rFonts w:ascii="Arial Narrow" w:hAnsi="Arial Narrow"/>
          <w:color w:val="000000"/>
          <w:szCs w:val="24"/>
        </w:rPr>
        <w:t>Karta do głosowania, sposób głosowania i warunki ważności głosu</w:t>
      </w:r>
      <w:r w:rsidRPr="00380876">
        <w:rPr>
          <w:rFonts w:ascii="Arial Narrow" w:hAnsi="Arial Narrow"/>
          <w:color w:val="000000"/>
          <w:szCs w:val="24"/>
        </w:rPr>
        <w:tab/>
      </w:r>
      <w:r w:rsidR="00AD18B6">
        <w:rPr>
          <w:rFonts w:ascii="Arial Narrow" w:hAnsi="Arial Narrow"/>
          <w:color w:val="000000"/>
          <w:szCs w:val="24"/>
        </w:rPr>
        <w:t>4</w:t>
      </w:r>
    </w:p>
    <w:p w:rsidR="003F458D" w:rsidRPr="00380876" w:rsidRDefault="003F458D" w:rsidP="003F458D">
      <w:pPr>
        <w:tabs>
          <w:tab w:val="right" w:pos="10065"/>
        </w:tabs>
        <w:rPr>
          <w:rFonts w:ascii="Arial Narrow" w:hAnsi="Arial Narrow"/>
          <w:color w:val="000000"/>
          <w:szCs w:val="24"/>
        </w:rPr>
      </w:pPr>
      <w:r>
        <w:rPr>
          <w:rFonts w:ascii="Arial Narrow" w:hAnsi="Arial Narrow"/>
          <w:b/>
          <w:color w:val="000000"/>
          <w:szCs w:val="24"/>
        </w:rPr>
        <w:t xml:space="preserve">Rozdział 4. </w:t>
      </w:r>
      <w:r w:rsidRPr="00380876">
        <w:rPr>
          <w:rFonts w:ascii="Arial Narrow" w:hAnsi="Arial Narrow"/>
          <w:color w:val="000000"/>
          <w:szCs w:val="24"/>
        </w:rPr>
        <w:t>Ustalenie wyników głosowania i wyniku referendum</w:t>
      </w:r>
      <w:r w:rsidRPr="00380876">
        <w:rPr>
          <w:rFonts w:ascii="Arial Narrow" w:hAnsi="Arial Narrow"/>
          <w:color w:val="000000"/>
          <w:szCs w:val="24"/>
        </w:rPr>
        <w:tab/>
      </w:r>
      <w:r w:rsidR="00AD18B6">
        <w:rPr>
          <w:rFonts w:ascii="Arial Narrow" w:hAnsi="Arial Narrow"/>
          <w:color w:val="000000"/>
          <w:szCs w:val="24"/>
        </w:rPr>
        <w:t>5</w:t>
      </w:r>
    </w:p>
    <w:p w:rsidR="003F458D" w:rsidRPr="00380876" w:rsidRDefault="003F458D" w:rsidP="003F458D">
      <w:pPr>
        <w:tabs>
          <w:tab w:val="right" w:pos="10065"/>
        </w:tabs>
        <w:rPr>
          <w:rFonts w:ascii="Arial Narrow" w:hAnsi="Arial Narrow"/>
          <w:color w:val="000000"/>
          <w:szCs w:val="24"/>
        </w:rPr>
      </w:pPr>
      <w:r>
        <w:rPr>
          <w:rFonts w:ascii="Arial Narrow" w:hAnsi="Arial Narrow"/>
          <w:b/>
          <w:color w:val="000000"/>
          <w:szCs w:val="24"/>
        </w:rPr>
        <w:t xml:space="preserve">Rozdział 5. </w:t>
      </w:r>
      <w:r w:rsidRPr="00380876">
        <w:rPr>
          <w:rFonts w:ascii="Arial Narrow" w:hAnsi="Arial Narrow"/>
          <w:color w:val="000000"/>
          <w:szCs w:val="24"/>
        </w:rPr>
        <w:t>Ważność referendum</w:t>
      </w:r>
      <w:r w:rsidRPr="00380876">
        <w:rPr>
          <w:rFonts w:ascii="Arial Narrow" w:hAnsi="Arial Narrow"/>
          <w:color w:val="000000"/>
          <w:szCs w:val="24"/>
        </w:rPr>
        <w:tab/>
      </w:r>
      <w:r w:rsidR="00E66398">
        <w:rPr>
          <w:rFonts w:ascii="Arial Narrow" w:hAnsi="Arial Narrow"/>
          <w:color w:val="000000"/>
          <w:szCs w:val="24"/>
        </w:rPr>
        <w:t>9</w:t>
      </w:r>
    </w:p>
    <w:p w:rsidR="003F458D" w:rsidRPr="00380876" w:rsidRDefault="003F458D" w:rsidP="003F458D">
      <w:pPr>
        <w:tabs>
          <w:tab w:val="right" w:pos="10065"/>
        </w:tabs>
        <w:rPr>
          <w:rFonts w:ascii="Arial Narrow" w:hAnsi="Arial Narrow"/>
          <w:color w:val="000000"/>
          <w:szCs w:val="24"/>
        </w:rPr>
      </w:pPr>
      <w:r>
        <w:rPr>
          <w:rFonts w:ascii="Arial Narrow" w:hAnsi="Arial Narrow"/>
          <w:b/>
          <w:color w:val="000000"/>
          <w:szCs w:val="24"/>
        </w:rPr>
        <w:t xml:space="preserve">Rozdział 6. </w:t>
      </w:r>
      <w:r w:rsidRPr="00380876">
        <w:rPr>
          <w:rFonts w:ascii="Arial Narrow" w:hAnsi="Arial Narrow"/>
          <w:color w:val="000000"/>
          <w:szCs w:val="24"/>
        </w:rPr>
        <w:t>Kampania referendalna i jej finansowanie</w:t>
      </w:r>
      <w:r w:rsidRPr="00380876">
        <w:rPr>
          <w:rFonts w:ascii="Arial Narrow" w:hAnsi="Arial Narrow"/>
          <w:color w:val="000000"/>
          <w:szCs w:val="24"/>
        </w:rPr>
        <w:tab/>
      </w:r>
      <w:r w:rsidR="00E66398">
        <w:rPr>
          <w:rFonts w:ascii="Arial Narrow" w:hAnsi="Arial Narrow"/>
          <w:color w:val="000000"/>
          <w:szCs w:val="24"/>
        </w:rPr>
        <w:t>10</w:t>
      </w:r>
    </w:p>
    <w:p w:rsidR="003F458D" w:rsidRPr="00380876" w:rsidRDefault="003F458D" w:rsidP="003F458D">
      <w:pPr>
        <w:tabs>
          <w:tab w:val="right" w:pos="10065"/>
        </w:tabs>
        <w:rPr>
          <w:rFonts w:ascii="Arial Narrow" w:hAnsi="Arial Narrow"/>
          <w:color w:val="000000"/>
          <w:szCs w:val="24"/>
        </w:rPr>
      </w:pPr>
      <w:r>
        <w:rPr>
          <w:rFonts w:ascii="Arial Narrow" w:hAnsi="Arial Narrow"/>
          <w:b/>
          <w:color w:val="000000"/>
          <w:szCs w:val="24"/>
        </w:rPr>
        <w:t xml:space="preserve">Rozdział 7. </w:t>
      </w:r>
      <w:r w:rsidRPr="00380876">
        <w:rPr>
          <w:rFonts w:ascii="Arial Narrow" w:hAnsi="Arial Narrow"/>
          <w:color w:val="000000"/>
          <w:szCs w:val="24"/>
        </w:rPr>
        <w:t>Finansowanie referendum z budżetu państwa</w:t>
      </w:r>
      <w:r w:rsidRPr="00380876">
        <w:rPr>
          <w:rFonts w:ascii="Arial Narrow" w:hAnsi="Arial Narrow"/>
          <w:color w:val="000000"/>
          <w:szCs w:val="24"/>
        </w:rPr>
        <w:tab/>
      </w:r>
      <w:r w:rsidR="00327D0C">
        <w:rPr>
          <w:rFonts w:ascii="Arial Narrow" w:hAnsi="Arial Narrow"/>
          <w:color w:val="000000"/>
          <w:szCs w:val="24"/>
        </w:rPr>
        <w:t>1</w:t>
      </w:r>
      <w:r w:rsidR="00E66398">
        <w:rPr>
          <w:rFonts w:ascii="Arial Narrow" w:hAnsi="Arial Narrow"/>
          <w:color w:val="000000"/>
          <w:szCs w:val="24"/>
        </w:rPr>
        <w:t>6</w:t>
      </w:r>
    </w:p>
    <w:p w:rsidR="003F458D" w:rsidRPr="00380876" w:rsidRDefault="003F458D" w:rsidP="003F458D">
      <w:pPr>
        <w:tabs>
          <w:tab w:val="right" w:pos="10065"/>
        </w:tabs>
        <w:rPr>
          <w:rFonts w:ascii="Arial Narrow" w:hAnsi="Arial Narrow"/>
          <w:color w:val="000000"/>
          <w:szCs w:val="24"/>
        </w:rPr>
      </w:pPr>
      <w:r>
        <w:rPr>
          <w:rFonts w:ascii="Arial Narrow" w:hAnsi="Arial Narrow"/>
          <w:b/>
          <w:color w:val="000000"/>
          <w:szCs w:val="24"/>
        </w:rPr>
        <w:t xml:space="preserve">Rozdział 8. </w:t>
      </w:r>
      <w:r w:rsidRPr="00380876">
        <w:rPr>
          <w:rFonts w:ascii="Arial Narrow" w:hAnsi="Arial Narrow"/>
          <w:color w:val="000000"/>
          <w:szCs w:val="24"/>
        </w:rPr>
        <w:t>Referendum w sprawach o szczególnym znaczeniu dla państwa</w:t>
      </w:r>
      <w:r w:rsidRPr="00380876">
        <w:rPr>
          <w:rFonts w:ascii="Arial Narrow" w:hAnsi="Arial Narrow"/>
          <w:color w:val="000000"/>
          <w:szCs w:val="24"/>
        </w:rPr>
        <w:tab/>
      </w:r>
      <w:r w:rsidR="00327D0C">
        <w:rPr>
          <w:rFonts w:ascii="Arial Narrow" w:hAnsi="Arial Narrow"/>
          <w:color w:val="000000"/>
          <w:szCs w:val="24"/>
        </w:rPr>
        <w:t>1</w:t>
      </w:r>
      <w:r w:rsidR="00E66398">
        <w:rPr>
          <w:rFonts w:ascii="Arial Narrow" w:hAnsi="Arial Narrow"/>
          <w:color w:val="000000"/>
          <w:szCs w:val="24"/>
        </w:rPr>
        <w:t>6</w:t>
      </w:r>
    </w:p>
    <w:p w:rsidR="00A8293B" w:rsidRDefault="00A8293B" w:rsidP="003F458D">
      <w:pPr>
        <w:tabs>
          <w:tab w:val="right" w:pos="10065"/>
        </w:tabs>
        <w:rPr>
          <w:rFonts w:ascii="Arial Narrow" w:hAnsi="Arial Narrow"/>
          <w:b/>
          <w:color w:val="000000"/>
          <w:szCs w:val="24"/>
        </w:rPr>
      </w:pPr>
      <w:r>
        <w:rPr>
          <w:rFonts w:ascii="Arial Narrow" w:hAnsi="Arial Narrow"/>
          <w:b/>
          <w:color w:val="000000"/>
          <w:szCs w:val="24"/>
        </w:rPr>
        <w:t>(…)</w:t>
      </w:r>
    </w:p>
    <w:p w:rsidR="003F458D" w:rsidRPr="00380876" w:rsidRDefault="003F458D" w:rsidP="003F458D">
      <w:pPr>
        <w:tabs>
          <w:tab w:val="right" w:pos="10065"/>
        </w:tabs>
        <w:rPr>
          <w:rFonts w:ascii="Arial Narrow" w:hAnsi="Arial Narrow"/>
          <w:color w:val="000000"/>
          <w:szCs w:val="24"/>
        </w:rPr>
      </w:pPr>
      <w:r>
        <w:rPr>
          <w:rFonts w:ascii="Arial Narrow" w:hAnsi="Arial Narrow"/>
          <w:b/>
          <w:color w:val="000000"/>
          <w:szCs w:val="24"/>
        </w:rPr>
        <w:t xml:space="preserve">Rozdział 11. </w:t>
      </w:r>
      <w:r w:rsidRPr="00380876">
        <w:rPr>
          <w:rFonts w:ascii="Arial Narrow" w:hAnsi="Arial Narrow"/>
          <w:color w:val="000000"/>
          <w:szCs w:val="24"/>
        </w:rPr>
        <w:t>Przepisy karne</w:t>
      </w:r>
      <w:r w:rsidRPr="00380876">
        <w:rPr>
          <w:rFonts w:ascii="Arial Narrow" w:hAnsi="Arial Narrow"/>
          <w:color w:val="000000"/>
          <w:szCs w:val="24"/>
        </w:rPr>
        <w:tab/>
      </w:r>
      <w:r w:rsidR="00E66398">
        <w:rPr>
          <w:rFonts w:ascii="Arial Narrow" w:hAnsi="Arial Narrow"/>
          <w:color w:val="000000"/>
          <w:szCs w:val="24"/>
        </w:rPr>
        <w:t>18</w:t>
      </w:r>
    </w:p>
    <w:p w:rsidR="003F458D" w:rsidRPr="00380876" w:rsidRDefault="003F458D" w:rsidP="003F458D">
      <w:pPr>
        <w:tabs>
          <w:tab w:val="right" w:pos="10065"/>
        </w:tabs>
        <w:rPr>
          <w:rFonts w:ascii="Arial Narrow" w:hAnsi="Arial Narrow"/>
          <w:color w:val="000000"/>
          <w:szCs w:val="24"/>
        </w:rPr>
      </w:pPr>
      <w:r>
        <w:rPr>
          <w:rFonts w:ascii="Arial Narrow" w:hAnsi="Arial Narrow"/>
          <w:b/>
          <w:color w:val="000000"/>
          <w:szCs w:val="24"/>
        </w:rPr>
        <w:t xml:space="preserve">Rozdział 12. </w:t>
      </w:r>
      <w:r w:rsidRPr="00380876">
        <w:rPr>
          <w:rFonts w:ascii="Arial Narrow" w:hAnsi="Arial Narrow"/>
          <w:color w:val="000000"/>
          <w:szCs w:val="24"/>
        </w:rPr>
        <w:t>Przepisy szczególne</w:t>
      </w:r>
      <w:r w:rsidRPr="00380876">
        <w:rPr>
          <w:rFonts w:ascii="Arial Narrow" w:hAnsi="Arial Narrow"/>
          <w:color w:val="000000"/>
          <w:szCs w:val="24"/>
        </w:rPr>
        <w:tab/>
      </w:r>
      <w:r w:rsidR="00E66398">
        <w:rPr>
          <w:rFonts w:ascii="Arial Narrow" w:hAnsi="Arial Narrow"/>
          <w:color w:val="000000"/>
          <w:szCs w:val="24"/>
        </w:rPr>
        <w:t>20</w:t>
      </w:r>
    </w:p>
    <w:p w:rsidR="003F458D" w:rsidRPr="00380876" w:rsidRDefault="00A8293B" w:rsidP="003F458D">
      <w:pPr>
        <w:tabs>
          <w:tab w:val="right" w:pos="10065"/>
        </w:tabs>
        <w:rPr>
          <w:rFonts w:ascii="Arial Narrow" w:hAnsi="Arial Narrow"/>
          <w:color w:val="000000"/>
          <w:szCs w:val="24"/>
        </w:rPr>
      </w:pPr>
      <w:r>
        <w:rPr>
          <w:rFonts w:ascii="Arial Narrow" w:hAnsi="Arial Narrow"/>
          <w:color w:val="000000"/>
          <w:szCs w:val="24"/>
        </w:rPr>
        <w:t>(…)</w:t>
      </w:r>
    </w:p>
    <w:p w:rsidR="003F458D" w:rsidRDefault="003F458D">
      <w:pPr>
        <w:rPr>
          <w:rFonts w:ascii="Arial Narrow" w:hAnsi="Arial Narrow"/>
          <w:b/>
          <w:color w:val="000000"/>
          <w:szCs w:val="24"/>
        </w:rPr>
      </w:pPr>
      <w:r>
        <w:rPr>
          <w:rFonts w:ascii="Arial Narrow" w:hAnsi="Arial Narrow"/>
          <w:b/>
          <w:color w:val="000000"/>
          <w:szCs w:val="24"/>
        </w:rPr>
        <w:br w:type="page"/>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lastRenderedPageBreak/>
        <w:t>USTAWA</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color w:val="000000"/>
          <w:szCs w:val="24"/>
        </w:rPr>
        <w:t>z dnia 14 marca 2003 r.</w:t>
      </w:r>
    </w:p>
    <w:p w:rsidR="00A20C06" w:rsidRPr="005D224A" w:rsidRDefault="005D224A" w:rsidP="00990F74">
      <w:pPr>
        <w:spacing w:after="0" w:line="360" w:lineRule="auto"/>
        <w:jc w:val="center"/>
        <w:rPr>
          <w:rFonts w:ascii="Arial Narrow" w:hAnsi="Arial Narrow"/>
          <w:b/>
          <w:color w:val="000000"/>
          <w:szCs w:val="24"/>
        </w:rPr>
      </w:pPr>
      <w:r w:rsidRPr="005D224A">
        <w:rPr>
          <w:rFonts w:ascii="Arial Narrow" w:hAnsi="Arial Narrow"/>
          <w:b/>
          <w:color w:val="000000"/>
          <w:szCs w:val="24"/>
        </w:rPr>
        <w:t>o referendum ogólnokrajowym</w:t>
      </w:r>
    </w:p>
    <w:p w:rsidR="000B3396" w:rsidRPr="00990F74" w:rsidRDefault="000B3396" w:rsidP="00990F74">
      <w:pPr>
        <w:spacing w:after="0" w:line="360" w:lineRule="auto"/>
        <w:jc w:val="center"/>
        <w:rPr>
          <w:rFonts w:ascii="Arial Narrow" w:hAnsi="Arial Narrow"/>
          <w:i/>
          <w:szCs w:val="24"/>
        </w:rPr>
      </w:pPr>
      <w:r w:rsidRPr="00990F74">
        <w:rPr>
          <w:rFonts w:ascii="Arial Narrow" w:hAnsi="Arial Narrow"/>
          <w:i/>
          <w:szCs w:val="24"/>
        </w:rPr>
        <w:t>(Dziennik Ustaw z 2020 poz. 851</w:t>
      </w:r>
      <w:r w:rsidR="00990F74" w:rsidRPr="00990F74">
        <w:rPr>
          <w:rFonts w:ascii="Arial Narrow" w:hAnsi="Arial Narrow"/>
          <w:i/>
          <w:szCs w:val="24"/>
        </w:rPr>
        <w:t xml:space="preserve"> oraz z 2023 r. poz. 497 i 1628</w:t>
      </w:r>
      <w:r w:rsidRPr="00990F74">
        <w:rPr>
          <w:rFonts w:ascii="Arial Narrow" w:hAnsi="Arial Narrow"/>
          <w:i/>
          <w:szCs w:val="24"/>
        </w:rPr>
        <w:t>)</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Rozdział  1</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Przepisy ogólne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1.  </w:t>
      </w:r>
      <w:r w:rsidRPr="005D224A">
        <w:rPr>
          <w:rFonts w:ascii="Arial Narrow" w:hAnsi="Arial Narrow"/>
          <w:color w:val="000000"/>
          <w:szCs w:val="24"/>
        </w:rPr>
        <w:t xml:space="preserve">Ustawa reguluje zasady i tryb przeprowadzania referendum ogólnokrajowego, o którym mowa w </w:t>
      </w:r>
      <w:r w:rsidRPr="005D224A">
        <w:rPr>
          <w:rFonts w:ascii="Arial Narrow" w:hAnsi="Arial Narrow"/>
          <w:color w:val="1B1B1B"/>
          <w:szCs w:val="24"/>
        </w:rPr>
        <w:t>art. 125</w:t>
      </w:r>
      <w:r w:rsidRPr="005D224A">
        <w:rPr>
          <w:rFonts w:ascii="Arial Narrow" w:hAnsi="Arial Narrow"/>
          <w:color w:val="000000"/>
          <w:szCs w:val="24"/>
        </w:rPr>
        <w:t xml:space="preserve"> i w </w:t>
      </w:r>
      <w:r w:rsidRPr="005D224A">
        <w:rPr>
          <w:rFonts w:ascii="Arial Narrow" w:hAnsi="Arial Narrow"/>
          <w:color w:val="1B1B1B"/>
          <w:szCs w:val="24"/>
        </w:rPr>
        <w:t>art. 90 ust. 3</w:t>
      </w:r>
      <w:r w:rsidRPr="005D224A">
        <w:rPr>
          <w:rFonts w:ascii="Arial Narrow" w:hAnsi="Arial Narrow"/>
          <w:color w:val="000000"/>
          <w:szCs w:val="24"/>
        </w:rPr>
        <w:t xml:space="preserve"> oraz w </w:t>
      </w:r>
      <w:r w:rsidRPr="005D224A">
        <w:rPr>
          <w:rFonts w:ascii="Arial Narrow" w:hAnsi="Arial Narrow"/>
          <w:color w:val="1B1B1B"/>
          <w:szCs w:val="24"/>
        </w:rPr>
        <w:t>art. 235 ust. 6</w:t>
      </w:r>
      <w:r w:rsidRPr="005D224A">
        <w:rPr>
          <w:rFonts w:ascii="Arial Narrow" w:hAnsi="Arial Narrow"/>
          <w:color w:val="000000"/>
          <w:szCs w:val="24"/>
        </w:rPr>
        <w:t xml:space="preserve"> Konstytucji Rzeczypospolitej Polskiej.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2.  </w:t>
      </w:r>
      <w:r w:rsidRPr="005D224A">
        <w:rPr>
          <w:rFonts w:ascii="Arial Narrow" w:hAnsi="Arial Narrow"/>
          <w:color w:val="000000"/>
          <w:szCs w:val="24"/>
        </w:rPr>
        <w:t>1.  Obywatele polscy, w drodze głosowania, wyrażają swoją wolę co do sposobu rozstrzygnięcia sprawy poddanej pod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Referendum polega na udzieleniu na urzędowej karcie do głosowania pozytywnej lub negatywnej odpowiedzi na postawione pytanie albo pytania lub na dokonaniu wyboru między zaproponowanymi wariantami rozwiązań.</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3.  </w:t>
      </w:r>
      <w:r w:rsidRPr="005D224A">
        <w:rPr>
          <w:rFonts w:ascii="Arial Narrow" w:hAnsi="Arial Narrow"/>
          <w:color w:val="000000"/>
          <w:szCs w:val="24"/>
        </w:rPr>
        <w:t>1.  Prawo udziału w referendum ma obywatel polski, jeżeli najpóźniej w dniu głosowania kończy 18 lat.</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Nie mają prawa udziału w referendum osoby:</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pozbawione praw publicznych prawomocnym orzeczeniem sądowym;</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pozbawione praw wyborczych prawomocnym orzeczeniem Trybunału Stanu;</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ubezwłasnowolnione prawomocnym orzeczeniem sądowym.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4.  </w:t>
      </w:r>
      <w:r w:rsidRPr="005D224A">
        <w:rPr>
          <w:rFonts w:ascii="Arial Narrow" w:hAnsi="Arial Narrow"/>
          <w:color w:val="000000"/>
          <w:szCs w:val="24"/>
        </w:rPr>
        <w:t>1.  Referendum wyznacza się na dzień wolny od pracy.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Głosowanie w referendum może być przeprowadzone w ciągu jednego albo dwóch dni.</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Jeżeli głosowanie w referendum przeprowadza się w ciągu dwóch dni, termin głosowania określa się na dzień wolny od pracy oraz dzień go poprzedzający.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5.  </w:t>
      </w:r>
      <w:r w:rsidRPr="005D224A">
        <w:rPr>
          <w:rFonts w:ascii="Arial Narrow" w:hAnsi="Arial Narrow"/>
          <w:color w:val="000000"/>
          <w:szCs w:val="24"/>
        </w:rPr>
        <w:t>1.  Głosować można tylko osobiście.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Głosowanie odbywa się w lokalu obwodowej komisji do spraw referendum, w ciągu jednego dnia lub dwu kolejnych dni.</w:t>
      </w:r>
    </w:p>
    <w:p w:rsidR="00A20C06" w:rsidRPr="005D224A" w:rsidRDefault="008A3CB9" w:rsidP="00990F74">
      <w:pPr>
        <w:spacing w:after="0" w:line="360" w:lineRule="auto"/>
        <w:jc w:val="both"/>
        <w:rPr>
          <w:rFonts w:ascii="Arial Narrow" w:hAnsi="Arial Narrow"/>
          <w:szCs w:val="24"/>
        </w:rPr>
      </w:pPr>
      <w:r>
        <w:rPr>
          <w:rFonts w:ascii="Arial Narrow" w:hAnsi="Arial Narrow"/>
          <w:color w:val="000000"/>
          <w:szCs w:val="24"/>
        </w:rPr>
        <w:t>(…)</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 xml:space="preserve">5.  Do trybu przeprowadzenia głosowania stosuje się odpowiednio przepisy </w:t>
      </w:r>
      <w:r w:rsidRPr="005D224A">
        <w:rPr>
          <w:rFonts w:ascii="Arial Narrow" w:hAnsi="Arial Narrow"/>
          <w:color w:val="1B1B1B"/>
          <w:szCs w:val="24"/>
        </w:rPr>
        <w:t>ustawy</w:t>
      </w:r>
      <w:r w:rsidRPr="005D224A">
        <w:rPr>
          <w:rFonts w:ascii="Arial Narrow" w:hAnsi="Arial Narrow"/>
          <w:color w:val="000000"/>
          <w:szCs w:val="24"/>
        </w:rPr>
        <w:t xml:space="preserve"> z dnia 5 stycznia 2011 r. - Kodeks wyborczy (Dz. U. z 2019 r. poz. 684 i 1504 oraz z 2020 r. poz. 568).</w:t>
      </w:r>
    </w:p>
    <w:p w:rsidR="00AD18B6" w:rsidRPr="00AD18B6" w:rsidRDefault="00AD18B6" w:rsidP="00990F74">
      <w:pPr>
        <w:spacing w:after="0" w:line="360" w:lineRule="auto"/>
        <w:jc w:val="both"/>
        <w:rPr>
          <w:rFonts w:ascii="Arial Narrow" w:hAnsi="Arial Narrow"/>
          <w:color w:val="000000"/>
          <w:szCs w:val="24"/>
        </w:rPr>
      </w:pPr>
      <w:r w:rsidRPr="00AD18B6">
        <w:rPr>
          <w:rFonts w:ascii="Arial Narrow" w:hAnsi="Arial Narrow"/>
          <w:color w:val="000000"/>
          <w:szCs w:val="24"/>
        </w:rPr>
        <w:t>(…)</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Rozdział  2</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Organy do spraw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10.  </w:t>
      </w:r>
      <w:r w:rsidRPr="005D224A">
        <w:rPr>
          <w:rFonts w:ascii="Arial Narrow" w:hAnsi="Arial Narrow"/>
          <w:color w:val="000000"/>
          <w:szCs w:val="24"/>
        </w:rPr>
        <w:t>Referendum przeprowadzają:</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 xml:space="preserve">1) Państwowa Komisja Wyborcza, powołana na podstawie przepisy </w:t>
      </w:r>
      <w:r w:rsidRPr="005D224A">
        <w:rPr>
          <w:rFonts w:ascii="Arial Narrow" w:hAnsi="Arial Narrow"/>
          <w:color w:val="1B1B1B"/>
          <w:szCs w:val="24"/>
        </w:rPr>
        <w:t>ustawy</w:t>
      </w:r>
      <w:r w:rsidRPr="005D224A">
        <w:rPr>
          <w:rFonts w:ascii="Arial Narrow" w:hAnsi="Arial Narrow"/>
          <w:color w:val="000000"/>
          <w:szCs w:val="24"/>
        </w:rPr>
        <w:t xml:space="preserve"> z dnia 5 stycznia 2011 r. - Kodeks wyborczy;</w:t>
      </w:r>
    </w:p>
    <w:p w:rsidR="00A20C06" w:rsidRPr="005D224A" w:rsidRDefault="00AD18B6" w:rsidP="00990F74">
      <w:pPr>
        <w:spacing w:after="0" w:line="360" w:lineRule="auto"/>
        <w:ind w:left="373"/>
        <w:jc w:val="both"/>
        <w:rPr>
          <w:rFonts w:ascii="Arial Narrow" w:hAnsi="Arial Narrow"/>
          <w:szCs w:val="24"/>
        </w:rPr>
      </w:pPr>
      <w:r>
        <w:rPr>
          <w:rFonts w:ascii="Arial Narrow" w:hAnsi="Arial Narrow"/>
          <w:color w:val="000000"/>
          <w:szCs w:val="24"/>
        </w:rPr>
        <w:t>(…)</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11.  </w:t>
      </w:r>
      <w:r w:rsidRPr="005D224A">
        <w:rPr>
          <w:rFonts w:ascii="Arial Narrow" w:hAnsi="Arial Narrow"/>
          <w:color w:val="000000"/>
          <w:szCs w:val="24"/>
        </w:rPr>
        <w:t>1.  Państwowa Komisja Wyborcza zapewnia organizację oraz przeprowadzenie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Do zadań Państwowej Komisji Wyborczej, w zakresie określonym w ust. 1, należy w szczególności:</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lastRenderedPageBreak/>
        <w:t>1) sprawowanie nadzoru nad przygotowaniem referendum oraz przestrzeganiem przepisów regulujących zasady i tryb przeprowadzenia referendum;</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wyjaśnianie sposobu głosowania w referendum;</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rozpatrywanie skarg na działalność komisarzy wyborczych;</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4) rozwiązanie komisji obwodowych po wykonaniu przez nie ustawowych zadań;</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5) ustalenie regulaminu komisji obwodowych oraz wzoru ich pieczęci, a także wzoru urzędowych formularzy oraz druków;</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6) sporządzenie protokołu o wyniku referendum oraz sprawozdania z przebiegu referendum;</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7) podanie do wiadomości publicznej oraz ogłoszenie w Dzienniku Ustaw Rzeczypospolitej Polskiej wyniku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Państwowa Komisja Wyborcza może określić, w drodze uchwały, warunki oraz sposób wykorzystania techniki elektronicznej przy ustalaniu wyników głosowania i wyniku referendum przez komisarzy wyborczych i komisje obwodowe oraz tryb przekazywania danych z protokołów za pośrednictwem sieci elektronicznego przekazywania danych.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12.  </w:t>
      </w:r>
      <w:r w:rsidRPr="005D224A">
        <w:rPr>
          <w:rFonts w:ascii="Arial Narrow" w:hAnsi="Arial Narrow"/>
          <w:color w:val="000000"/>
          <w:szCs w:val="24"/>
        </w:rPr>
        <w:t>Do zadań komisarza wyborczego na obszarze należącym do jego właściwości terytorialnej należy w szczególności:</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zapewnienie, we współdziałaniu z właściwymi organami samorządu terytorialnego, prawidłowego przygotowania i przeprowadzenia referendum;</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sprawowanie nadzoru nad przestrzeganiem przepisów niniejszej ustawy przez komisje obwodowe;</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rozpatrywanie skarg na działalność komisji obwodowych;</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4) dostarczanie komisjom obwodowym kart do głosowania w trybie określonym przez Państwową Komisję Wyborczą;</w:t>
      </w:r>
    </w:p>
    <w:p w:rsidR="00A20C06" w:rsidRDefault="005D224A" w:rsidP="00990F74">
      <w:pPr>
        <w:spacing w:after="0" w:line="360" w:lineRule="auto"/>
        <w:ind w:left="373"/>
        <w:jc w:val="both"/>
        <w:rPr>
          <w:rFonts w:ascii="Arial Narrow" w:hAnsi="Arial Narrow"/>
          <w:color w:val="000000"/>
          <w:szCs w:val="24"/>
        </w:rPr>
      </w:pPr>
      <w:r w:rsidRPr="005D224A">
        <w:rPr>
          <w:rFonts w:ascii="Arial Narrow" w:hAnsi="Arial Narrow"/>
          <w:color w:val="000000"/>
          <w:szCs w:val="24"/>
        </w:rPr>
        <w:t>5) ustalenie wyników głosowania i przekazanie ich do Państwowej Komisji Wyborczej.</w:t>
      </w:r>
    </w:p>
    <w:p w:rsidR="008A3CB9" w:rsidRDefault="008A3CB9" w:rsidP="008A3CB9">
      <w:pPr>
        <w:spacing w:after="0" w:line="360" w:lineRule="auto"/>
        <w:jc w:val="both"/>
        <w:rPr>
          <w:rFonts w:ascii="Arial Narrow" w:hAnsi="Arial Narrow"/>
          <w:szCs w:val="24"/>
        </w:rPr>
      </w:pPr>
      <w:r>
        <w:rPr>
          <w:rFonts w:ascii="Arial Narrow" w:hAnsi="Arial Narrow"/>
          <w:szCs w:val="24"/>
        </w:rPr>
        <w:t>(…)</w:t>
      </w:r>
    </w:p>
    <w:p w:rsidR="00AD18B6" w:rsidRPr="005D224A" w:rsidRDefault="00AD18B6" w:rsidP="00AD18B6">
      <w:pPr>
        <w:spacing w:after="0" w:line="360" w:lineRule="auto"/>
        <w:jc w:val="both"/>
        <w:rPr>
          <w:rFonts w:ascii="Arial Narrow" w:hAnsi="Arial Narrow"/>
          <w:szCs w:val="24"/>
        </w:rPr>
      </w:pPr>
      <w:r w:rsidRPr="005D224A">
        <w:rPr>
          <w:rFonts w:ascii="Arial Narrow" w:hAnsi="Arial Narrow"/>
          <w:b/>
          <w:color w:val="000000"/>
          <w:szCs w:val="24"/>
        </w:rPr>
        <w:t xml:space="preserve">Art.  15.  </w:t>
      </w:r>
      <w:r w:rsidRPr="005D224A">
        <w:rPr>
          <w:rFonts w:ascii="Arial Narrow" w:hAnsi="Arial Narrow"/>
          <w:color w:val="000000"/>
          <w:szCs w:val="24"/>
        </w:rPr>
        <w:t>Do zadań komisji obwodowej należy w szczególności:</w:t>
      </w:r>
    </w:p>
    <w:p w:rsidR="00AD18B6" w:rsidRPr="005D224A" w:rsidRDefault="00AD18B6" w:rsidP="00AD18B6">
      <w:pPr>
        <w:spacing w:after="0" w:line="360" w:lineRule="auto"/>
        <w:ind w:left="373"/>
        <w:jc w:val="both"/>
        <w:rPr>
          <w:rFonts w:ascii="Arial Narrow" w:hAnsi="Arial Narrow"/>
          <w:szCs w:val="24"/>
        </w:rPr>
      </w:pPr>
      <w:r w:rsidRPr="005D224A">
        <w:rPr>
          <w:rFonts w:ascii="Arial Narrow" w:hAnsi="Arial Narrow"/>
          <w:color w:val="000000"/>
          <w:szCs w:val="24"/>
        </w:rPr>
        <w:t>1) przeprowadzenie głosowania w obwodzie;</w:t>
      </w:r>
    </w:p>
    <w:p w:rsidR="00AD18B6" w:rsidRPr="005D224A" w:rsidRDefault="00AD18B6" w:rsidP="00AD18B6">
      <w:pPr>
        <w:spacing w:after="0" w:line="360" w:lineRule="auto"/>
        <w:ind w:left="373"/>
        <w:jc w:val="both"/>
        <w:rPr>
          <w:rFonts w:ascii="Arial Narrow" w:hAnsi="Arial Narrow"/>
          <w:szCs w:val="24"/>
        </w:rPr>
      </w:pPr>
      <w:r w:rsidRPr="005D224A">
        <w:rPr>
          <w:rFonts w:ascii="Arial Narrow" w:hAnsi="Arial Narrow"/>
          <w:color w:val="000000"/>
          <w:szCs w:val="24"/>
        </w:rPr>
        <w:t>2) czuwanie nad przestrzeganiem przepisów niniejszej ustawy w miejscu i w czasie głosowania;</w:t>
      </w:r>
    </w:p>
    <w:p w:rsidR="00AD18B6" w:rsidRPr="005D224A" w:rsidRDefault="00AD18B6" w:rsidP="00AD18B6">
      <w:pPr>
        <w:spacing w:after="0" w:line="360" w:lineRule="auto"/>
        <w:ind w:left="373"/>
        <w:jc w:val="both"/>
        <w:rPr>
          <w:rFonts w:ascii="Arial Narrow" w:hAnsi="Arial Narrow"/>
          <w:szCs w:val="24"/>
        </w:rPr>
      </w:pPr>
      <w:r w:rsidRPr="005D224A">
        <w:rPr>
          <w:rFonts w:ascii="Arial Narrow" w:hAnsi="Arial Narrow"/>
          <w:color w:val="000000"/>
          <w:szCs w:val="24"/>
        </w:rPr>
        <w:t>3) ustalenie wyników głosowania w obwodzie i podanie ich do wiadomości publicznej;</w:t>
      </w:r>
    </w:p>
    <w:p w:rsidR="00AD18B6" w:rsidRPr="005D224A" w:rsidRDefault="00AD18B6" w:rsidP="00AD18B6">
      <w:pPr>
        <w:spacing w:after="0" w:line="360" w:lineRule="auto"/>
        <w:ind w:left="373"/>
        <w:jc w:val="both"/>
        <w:rPr>
          <w:rFonts w:ascii="Arial Narrow" w:hAnsi="Arial Narrow"/>
          <w:szCs w:val="24"/>
        </w:rPr>
      </w:pPr>
      <w:r w:rsidRPr="005D224A">
        <w:rPr>
          <w:rFonts w:ascii="Arial Narrow" w:hAnsi="Arial Narrow"/>
          <w:color w:val="000000"/>
          <w:szCs w:val="24"/>
        </w:rPr>
        <w:t>4) przekazanie protokołu głosowania w obwodzie właściwemu komisarzowi wyborczemu.</w:t>
      </w:r>
    </w:p>
    <w:p w:rsidR="00AD18B6" w:rsidRPr="005D224A" w:rsidRDefault="00AD18B6" w:rsidP="008A3CB9">
      <w:pPr>
        <w:spacing w:after="0" w:line="360" w:lineRule="auto"/>
        <w:jc w:val="both"/>
        <w:rPr>
          <w:rFonts w:ascii="Arial Narrow" w:hAnsi="Arial Narrow"/>
          <w:szCs w:val="24"/>
        </w:rPr>
      </w:pPr>
      <w:r>
        <w:rPr>
          <w:rFonts w:ascii="Arial Narrow" w:hAnsi="Arial Narrow"/>
          <w:szCs w:val="24"/>
        </w:rPr>
        <w:t>(…)</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Rozdział  3</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Karta do głosowania, sposób głosowania i warunki ważności głosu</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20.  </w:t>
      </w:r>
      <w:r w:rsidRPr="005D224A">
        <w:rPr>
          <w:rFonts w:ascii="Arial Narrow" w:hAnsi="Arial Narrow"/>
          <w:color w:val="000000"/>
          <w:szCs w:val="24"/>
        </w:rPr>
        <w:t>1.  Na urzędowej karcie do głosowania umieszcza się:</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oznaczenie rodzaju, podmiotu zarządzającego oraz daty referendum;</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pytanie lub warianty rozwiązania sprawy poddanej pod referendum;</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informację o sposobie głosowania.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lastRenderedPageBreak/>
        <w:t>2.  Na karcie do głosowania można zamieścić wyjaśnienie dotyczące przedmiotu referendum. Treść wyjaśnienia ustala podmiot zarządzający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Jeżeli referendum polega na udzieleniu odpowiedzi na postawione pytanie, na karcie do głosowania zamieszcza się również wyrazy "Tak" i "Nie", a gdy referendum polega na dokonaniu wyboru pomiędzy zaproponowanymi wariantami rozwiązania, przy każdym z wariantów umieszcza się po lewej stronie numer wariantu.</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W przypadku poddania pod referendum więcej niż jednej sprawy, na karcie do głosowania zamieszcza się kolejno wszystkie postawione pytania lub zaproponowane warianty rozwiązania.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5.  Karta do głosowania może być zadrukowana tylko po jednej stronie. Na karcie do głosowania drukuje się odcisk pieczęci Państwowej Komisji Wyborczej oraz oznacza się miejsce na odcisk pieczęci komisji obwodowej.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6.  Wzór karty do głosowania, zasady drukowania kart i tryb przekazywania ich komisjom obwodowym oraz wzory nakładek na karty do głosowania sporządzone w alfabecie Braille'a ustala, w drodze uchwały, Państwowa Komisja Wyborcza.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21.  </w:t>
      </w:r>
      <w:r w:rsidRPr="005D224A">
        <w:rPr>
          <w:rFonts w:ascii="Arial Narrow" w:hAnsi="Arial Narrow"/>
          <w:color w:val="000000"/>
          <w:szCs w:val="24"/>
        </w:rPr>
        <w:t>1.  Głosujący udziela odpowiedzi na postawione pytanie, stawiając znak "x" odpowiednio w kratce obok odpowiedzi pozytywnej "Tak" albo odpowiedzi negatywnej "Nie", lub dokonuje wyboru pomiędzy zaproponowanymi wariantami rozwiązania, stawiając na karcie do głosowania znak "x" w kratce obok numeru wariantu, za którym się opowiada.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Jeżeli na karcie do głosowania postawiono znak "x" w obu kratkach obok odpowiedzi na postawione pytanie lub nie postawiono znaku "x" w żadnej z kratek obok odpowiedzi na pytanie, głos uważa się za nieważny.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Jeżeli na karcie do głosowania postawiono znak "x" w kratkach odpowiadającym dwóm lub więcej numerom wariantów rozwiązania albo nie postawiono znaku "x" w żadnej z kratek odpowiadających numerowi wariantu, głos uważa się za nieważny.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Dopisanie na karcie do głosowania dodatkowych pytań lub wariantów rozwiązania albo poczynienie innych dopisków poza kratką nie wpływa na ważność głosu.</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Rozdział  4</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Ustalenie wyników głosowania i wyniku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22.  </w:t>
      </w:r>
      <w:r w:rsidRPr="005D224A">
        <w:rPr>
          <w:rFonts w:ascii="Arial Narrow" w:hAnsi="Arial Narrow"/>
          <w:color w:val="000000"/>
          <w:szCs w:val="24"/>
        </w:rPr>
        <w:t>1.  Niezwłocznie po zakończeniu głosowania komisja obwodowa ustala liczbę niewykorzystanych kart do głosowania i umieszcza je w zapieczętowanym pakiecie.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Komisja obwodowa ustala na podstawie spisu osób uprawnionych do udziału w referendum liczbę osób uprawnionych do głosowania oraz liczbę osób, którym wydano karty do głosowania.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Przewodniczący komisji obwodowej w obecności jej członków otwiera urnę, po czym komisja liczy wyjęte z urny karty do głosowania.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Komisja obwodowa na podstawie liczby kart ważnych, wyjętych z urny, ustala liczbę osób, które wzięły udział w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5.  Kart do głosowania przedartych całkowicie nie bierze się pod uwagę przy obliczeniach, o których mowa w ust. 4.</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6.  Jeżeli liczba kart do głosowania w urnie jest mniejsza lub większa od liczby wydanych kart, komisja obwodowa podaje w protokole głosowania w obwodzie przypuszczalną przyczynę tej niezgodności.</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lastRenderedPageBreak/>
        <w:t xml:space="preserve">Art.  23.  </w:t>
      </w:r>
      <w:r w:rsidRPr="005D224A">
        <w:rPr>
          <w:rFonts w:ascii="Arial Narrow" w:hAnsi="Arial Narrow"/>
          <w:color w:val="000000"/>
          <w:szCs w:val="24"/>
        </w:rPr>
        <w:t>Nieważne są karty do głosowania inne niż urzędowo ustalone lub nieopatrzone pieczęcią komisji obwodowej.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24.  </w:t>
      </w:r>
      <w:r w:rsidRPr="005D224A">
        <w:rPr>
          <w:rFonts w:ascii="Arial Narrow" w:hAnsi="Arial Narrow"/>
          <w:color w:val="000000"/>
          <w:szCs w:val="24"/>
        </w:rPr>
        <w:t>1.  Po obliczeniu liczby ważnych kart do głosowania komisja obwodowa ustala wyniki głosowania w obwodzie, o których mowa w art. 25 ust. 2 pkt 5-7.</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W razie poddania pod referendum więcej niż jednej sprawy, przedstawionej w formie pytania lub wyboru wariantu rozwiązania, komisja obwodowa ustala wyniki głosowania oddzielnie w odniesieniu dla każdego pytania lub wyboru wariantu rozwiązania.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25.  </w:t>
      </w:r>
      <w:r w:rsidRPr="005D224A">
        <w:rPr>
          <w:rFonts w:ascii="Arial Narrow" w:hAnsi="Arial Narrow"/>
          <w:color w:val="000000"/>
          <w:szCs w:val="24"/>
        </w:rPr>
        <w:t>1.  Komisja obwodowa sporządza, w trzech egzemplarzach, protokół głosowania w obwodzie.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W protokole głosowania w obwodzie wymienia się liczby:</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osób uprawnionych do głosowania;</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osób, którym wydano karty do głosowania;</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kart nieważnych, o których mowa w art. 23;</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4) kart ważnych (osób, które wzięły udział w głosowaniu);</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5) głosów nieważnych, o których mowa w art. 21 ust. 2 lub 3;</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6) głosów ważnych;</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7) głosów ważnych - osobno: pozytywnych "Tak" oraz negatywnych "Nie" oddanych w odpowiedzi na postawione pytanie lub za wyborem określonego wariantu rozwiązania.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Przepis art. 24 ust. 2 stosuje się odpowiednio.</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Protokół podpisują wszystkie osoby wchodzące w skład komisji obwodowej, obecne przy jego sporządzeniu. Protokół opatruje się pieczęcią komisji.</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5.  Członkom komisji obwodowej przysługuje prawo wniesienia do protokołu głosowania uwag z wymienieniem konkretnych zarzutów, z tym że nie zwalnia to ich z obowiązku podpisania protokołu.</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6.  Mężom zaufania przysługuje prawo wniesienia do protokołu uwag, z wymienieniem konkretnych zarzutów. Adnotację o wniesieniu uwag zamieszcza się w protokole.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7.  Po sporządzeniu protokołu komisja obwodowa podaje niezwłocznie do wiadomości publicznej wyniki głosowania, przez wywieszenie protokołu w lokalu komisji w miejscu łatwo dostępnym dla zainteresowanych.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26.  </w:t>
      </w:r>
      <w:r w:rsidRPr="005D224A">
        <w:rPr>
          <w:rFonts w:ascii="Arial Narrow" w:hAnsi="Arial Narrow"/>
          <w:color w:val="000000"/>
          <w:szCs w:val="24"/>
        </w:rPr>
        <w:t>1.  Przewodniczący komisji obwodowej niezwłocznie przesyła do komisarza wyborczego, w zapieczętowanej kopercie, jeden egzemplarz protokołu głosowania w obwodzie wraz z wyjaśnieniami komisji co do zgłoszonych zarzutów, o których mowa w art. 25 ust. 5 i 6.</w:t>
      </w:r>
    </w:p>
    <w:p w:rsidR="00AC731C" w:rsidRPr="00465176" w:rsidRDefault="00465176" w:rsidP="00990F74">
      <w:pPr>
        <w:spacing w:after="0" w:line="360" w:lineRule="auto"/>
        <w:jc w:val="both"/>
        <w:rPr>
          <w:rFonts w:ascii="Arial Narrow" w:hAnsi="Arial Narrow"/>
          <w:color w:val="000000"/>
          <w:szCs w:val="24"/>
        </w:rPr>
      </w:pPr>
      <w:r w:rsidRPr="00465176">
        <w:rPr>
          <w:rFonts w:ascii="Arial Narrow" w:hAnsi="Arial Narrow"/>
          <w:color w:val="333333"/>
          <w:shd w:val="clear" w:color="auto" w:fill="FFFFFF"/>
        </w:rPr>
        <w:t>2. Wyniki głosowania i protokoły głosowania z obwodów utworzonych za granicą oraz na polskich statkach morskich są przekazywane komisarzowi wyborczemu właściwemu dla miasta stołecznego Warszawy.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Tryb przekazywania wyników głosowania i protokołów, o których mowa w ust. 1 i 2, ustala, w drodze uchwały, Państwowa Komisja Wyborcza.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27.  </w:t>
      </w:r>
      <w:r w:rsidRPr="005D224A">
        <w:rPr>
          <w:rFonts w:ascii="Arial Narrow" w:hAnsi="Arial Narrow"/>
          <w:color w:val="000000"/>
          <w:szCs w:val="24"/>
        </w:rPr>
        <w:t>Po dokonaniu czynności, o których mowa w art. 26 ust. 1 i 2, przewodniczący komisji obwodowej niezwłocznie przekazuje w depozyt odpowiednio wójtowi lub burmistrzowi (prezydentowi miasta), konsulowi albo kapitanowi statku dokumenty z przeprowadzonego referendum oraz pieczęć komisji.</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lastRenderedPageBreak/>
        <w:t xml:space="preserve">Art.  28.  </w:t>
      </w:r>
      <w:r w:rsidRPr="005D224A">
        <w:rPr>
          <w:rFonts w:ascii="Arial Narrow" w:hAnsi="Arial Narrow"/>
          <w:color w:val="000000"/>
          <w:szCs w:val="24"/>
        </w:rPr>
        <w:t>1.  Niezwłocznie po otrzymaniu od komisji obwodowych protokołów głosowania komisarz wyborczy dokonuje sprawdzenia prawidłowości ustalenia wyników głosowania we wszystkich obwodach. W razie stwierdzenia nieprawidłowości w ustaleniu wyników głosowania komisarz wyborczy zarządza ponowne ich ustalenie przez komisję obwodową i powiadamia o tym Państwową Komisję Wyborczą.</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Na podstawie protokołów głosowania w obwodach komisarz wyborczy ustala wyniki głosowania na obszarze swojej właściwości i sporządza, w trzech egzemplarzach, protokół głosowania. W protokole wymienia się łącznie dane, o których mowa w art. 25 ust. 2. Przepisy art. 24 ust. 2 i art. 25 ust. 4 oraz 6 i 7 stosuje się odpowiednio.</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Protokół, o którym mowa w ust. 2, komisarz wyborczy przesyła niezwłocznie do Państwowej Komisji Wyborczej, w trybie określonym w drodze uchwały przez Państwową Komisję Wyborczą. Pozostałe dokumenty z przeprowadzonego referendum komisarz wyborczy przekazuje dyrektorowi delegatury Krajowego Biura Wyborczego, właściwej dla siedziby komisarza wyborczego.</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29.  </w:t>
      </w:r>
      <w:r w:rsidRPr="005D224A">
        <w:rPr>
          <w:rFonts w:ascii="Arial Narrow" w:hAnsi="Arial Narrow"/>
          <w:color w:val="000000"/>
          <w:szCs w:val="24"/>
        </w:rPr>
        <w:t>1.  Po otrzymaniu protokołów od komisarzy wyborczych Państwowa Komisja Wyborcza dokonuje sprawdzenia prawidłowości ustalenia przez nich wyników głosowania.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W razie stwierdzenia nieprawidłowości w ustaleniu wyników głosowania, o których mowa w ust. 1, Państwowa Komisja Wyborcza zarządza, w drodze uchwały, ponowne ustalenie przez komisarza wyborczego tych wyników.</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Państwowa Komisja Wyborcza:</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ustala wyniki głosowania i wynik referendum;</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sporządza protokół o wyniku referendum; przepisy art. 24 ust. 2 i art. 25 ust. 2 i 4 oraz 6 i 7 stosuje się odpowiednio;</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przekazuje protokół o wyniku referendum wraz ze sprawozdaniem z przebiegu referendum Prezydentowi Rzeczypospolitej Polskiej, Marszałkowi Sejmu, Marszałkowi Senatu, Prezesowi Rady Ministrów oraz Sądowi Najwyższemu;</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4) podaje niezwłocznie wynik referendum do wiadomości publicznej oraz ogłasza, w formie obwieszczenia, w Dzienniku Ustaw Rzeczypospolitej Polskiej.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30.  </w:t>
      </w:r>
      <w:r w:rsidRPr="005D224A">
        <w:rPr>
          <w:rFonts w:ascii="Arial Narrow" w:hAnsi="Arial Narrow"/>
          <w:color w:val="000000"/>
          <w:szCs w:val="24"/>
        </w:rPr>
        <w:t>Wzory protokołów, o których mowa w art. 25 ust. 1, art. 28 ust. 2 oraz art. 29 ust. 3 pkt 2, określa, w drodze uchwały, Państwowa Komisja Wyborcza.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31.  </w:t>
      </w:r>
      <w:r w:rsidRPr="005D224A">
        <w:rPr>
          <w:rFonts w:ascii="Arial Narrow" w:hAnsi="Arial Narrow"/>
          <w:color w:val="000000"/>
          <w:szCs w:val="24"/>
        </w:rPr>
        <w:t>Minister właściwy do spraw kultury i ochrony dziedzictwa narodowego, na wniosek Państwowej Komisji Wyborczej, złożony po porozumieniu z Naczelnym Dyrektorem Archiwów Państwowych, określi, w drodze rozporządzenia, sposób przekazywania, przechowywania i udostępniania dokumentów z przeprowadzonego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32.  </w:t>
      </w:r>
      <w:r w:rsidRPr="005D224A">
        <w:rPr>
          <w:rFonts w:ascii="Arial Narrow" w:hAnsi="Arial Narrow"/>
          <w:color w:val="000000"/>
          <w:szCs w:val="24"/>
        </w:rPr>
        <w:t>1.  Jeżeli termin przeprowadzenia referendum został wyznaczony na dwa kolejne dni, ustalenie wyników głosowania przez komisję obwodową następuje po zakończeniu głosowania w drugim dniu przeprowadzania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W przypadku, o którym mowa w ust. 1, komisja obwodowa po zakończeniu głosowania w pierwszym dniu:</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zapieczętowuje otwór urny;</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ustala protokolarnie:</w:t>
      </w:r>
    </w:p>
    <w:p w:rsidR="00A20C06" w:rsidRPr="005D224A" w:rsidRDefault="005D224A" w:rsidP="00990F74">
      <w:pPr>
        <w:spacing w:after="0" w:line="360" w:lineRule="auto"/>
        <w:ind w:left="746"/>
        <w:jc w:val="both"/>
        <w:rPr>
          <w:rFonts w:ascii="Arial Narrow" w:hAnsi="Arial Narrow"/>
          <w:szCs w:val="24"/>
        </w:rPr>
      </w:pPr>
      <w:r w:rsidRPr="005D224A">
        <w:rPr>
          <w:rFonts w:ascii="Arial Narrow" w:hAnsi="Arial Narrow"/>
          <w:color w:val="000000"/>
          <w:szCs w:val="24"/>
        </w:rPr>
        <w:lastRenderedPageBreak/>
        <w:t>a) liczbę niewykorzystanych kart do głosowania,</w:t>
      </w:r>
    </w:p>
    <w:p w:rsidR="00A20C06" w:rsidRPr="005D224A" w:rsidRDefault="005D224A" w:rsidP="00990F74">
      <w:pPr>
        <w:spacing w:after="0" w:line="360" w:lineRule="auto"/>
        <w:ind w:left="746"/>
        <w:jc w:val="both"/>
        <w:rPr>
          <w:rFonts w:ascii="Arial Narrow" w:hAnsi="Arial Narrow"/>
          <w:szCs w:val="24"/>
        </w:rPr>
      </w:pPr>
      <w:r w:rsidRPr="005D224A">
        <w:rPr>
          <w:rFonts w:ascii="Arial Narrow" w:hAnsi="Arial Narrow"/>
          <w:color w:val="000000"/>
          <w:szCs w:val="24"/>
        </w:rPr>
        <w:t>b) liczbę osób uprawnionych do głosowania, czyli liczbę osób ujętych w spisie osób uprawnionych do udziału w referendum,</w:t>
      </w:r>
    </w:p>
    <w:p w:rsidR="00A20C06" w:rsidRPr="005D224A" w:rsidRDefault="005D224A" w:rsidP="00990F74">
      <w:pPr>
        <w:spacing w:after="0" w:line="360" w:lineRule="auto"/>
        <w:ind w:left="746"/>
        <w:jc w:val="both"/>
        <w:rPr>
          <w:rFonts w:ascii="Arial Narrow" w:hAnsi="Arial Narrow"/>
          <w:szCs w:val="24"/>
        </w:rPr>
      </w:pPr>
      <w:r w:rsidRPr="005D224A">
        <w:rPr>
          <w:rFonts w:ascii="Arial Narrow" w:hAnsi="Arial Narrow"/>
          <w:color w:val="000000"/>
          <w:szCs w:val="24"/>
        </w:rPr>
        <w:t>c) liczbę kart wydanych - na podstawie podpisów osób w spisie osób uprawnionych do udziału w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Po wykonaniu czynności, o których mowa w ust. 2, komisja obwodowa umieszcza w opieczętowanych pakietach odrębnie karty niewykorzystane i spis osób uprawnionych do udziału w referendum, które wraz z urną pozostają w lokalu komisji.</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Po zakończeniu głosowania w pierwszym dniu przeprowadzania referendum i wykonaniu czynności, o których mowa w ust. 2 i 3, przewodniczący komisji zamyka lokal komisji i opieczętowuje wejście do lokalu pieczęcią komisji. Wójt lub burmistrz (prezydent miasta) zapewnia ochronę lokalu komisji w czasie przerwy w głosowaniu.</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4a.  Dane, o których mowa w ust. 2 pkt 2, komisja obwodowa podaje niezwłocznie do wiadomości publicznej, po wykonaniu czynności, o których mowa w ust. 4, przez wywieszenie protokołu, w miejscu łatwo dostępnym dla zainteresowanych, w budynku, w którym mieści się siedziba komisji; przepis art. 25 ust. 4 stosuje się odpowiednio. Wzór protokołu ustala, w drodze uchwały, Państwowa Komisja Wyborcza.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5.  Przed rozpoczęciem głosowania w drugim dniu komisja obwodowa stwierdza protokolarnie, czy pieczęcie na wejściu do lokalu komisji, a także na pakietach z kartami do głosowania oraz ze spisem osób uprawnionych do głosowania są nienaruszone.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6.  Minister właściwy do spraw administracji publicznej, po porozumieniu z Państwową Komisją Wyborczą, określi, w drodze rozporządzenia, szczegółowe wymagania w zakresie ochrony lokalu komisji w czasie przerwy w głosowaniu, w tym również zasady udzielania przez Policję pomocy wójtom, burmistrzom (prezydentom miast) w celu prawidłowej ochrony tych lokali.</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7.  Szczegółowy sposób wykonywania przez komisję obwodową czynności, o których mowa w ust. 2-5, określa, w drodze uchwały, Państwowa Komisja Wyborcza, zapewniając poszanowanie zasad przeprowadzania referendum oraz ochronę urny, pakietów i dokumentów związanych z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8.  Przepisy ust. 2-7 stosuje się do obwodów głosowania utworzonych na polskim statku morskim i za granicą, z tym że:</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obowiązek zapewnienia ochrony lokalu komisji, o którym mowa w ust. 4, spoczywa odpowiednio na kapitanie statku i konsulu;</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minister właściwy do spraw gospodarki morskiej, po porozumieniu z Państwową Komisją Wyborczą, określi, w drodze rozporządzenia, szczegółowe wymagania oraz obowiązki kapitana polskiego statku morskiego w zakresie ochrony lokalu komisji w czasie przerwy w głosowaniu;</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minister właściwy do spraw zagranicznych, po porozumieniu z Państwową Komisją Wyborczą, określi, w drodze rozporządzenia, szczegółowe wymagania oraz obowiązki konsula w zakresie ochrony lokalu komisji w czasie przerwy w głosowaniu.</w:t>
      </w:r>
    </w:p>
    <w:p w:rsidR="00A20C06" w:rsidRPr="005D224A" w:rsidRDefault="005D224A" w:rsidP="00AD18B6">
      <w:pPr>
        <w:keepNext/>
        <w:spacing w:after="0" w:line="360" w:lineRule="auto"/>
        <w:jc w:val="center"/>
        <w:rPr>
          <w:rFonts w:ascii="Arial Narrow" w:hAnsi="Arial Narrow"/>
          <w:szCs w:val="24"/>
        </w:rPr>
      </w:pPr>
      <w:r w:rsidRPr="005D224A">
        <w:rPr>
          <w:rFonts w:ascii="Arial Narrow" w:hAnsi="Arial Narrow"/>
          <w:b/>
          <w:color w:val="000000"/>
          <w:szCs w:val="24"/>
        </w:rPr>
        <w:lastRenderedPageBreak/>
        <w:t>Rozdział  5</w:t>
      </w:r>
    </w:p>
    <w:p w:rsidR="00A20C06" w:rsidRPr="005D224A" w:rsidRDefault="005D224A" w:rsidP="00AD18B6">
      <w:pPr>
        <w:keepNext/>
        <w:spacing w:after="0" w:line="360" w:lineRule="auto"/>
        <w:jc w:val="center"/>
        <w:rPr>
          <w:rFonts w:ascii="Arial Narrow" w:hAnsi="Arial Narrow"/>
          <w:szCs w:val="24"/>
        </w:rPr>
      </w:pPr>
      <w:r w:rsidRPr="005D224A">
        <w:rPr>
          <w:rFonts w:ascii="Arial Narrow" w:hAnsi="Arial Narrow"/>
          <w:b/>
          <w:color w:val="000000"/>
          <w:szCs w:val="24"/>
        </w:rPr>
        <w:t>Ważność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33.  </w:t>
      </w:r>
      <w:r w:rsidRPr="005D224A">
        <w:rPr>
          <w:rFonts w:ascii="Arial Narrow" w:hAnsi="Arial Narrow"/>
          <w:color w:val="000000"/>
          <w:szCs w:val="24"/>
        </w:rPr>
        <w:t>1.  Przeciwko ważności referendum może być wniesiony protest ze względu na zarzut dopuszczenia się przestępstwa przeciwko referendum lub naruszenia przepisów niniejszej ustawy dotyczących głosowania, ustalenia wyników głosowania lub wyniku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Jeżeli podstawę protestu stanowi zarzut popełnienia przestępstwa przeciwko referendum lub naruszenia przez Państwową Komisję Wyborczą przepisów niniejszej ustawy dotyczących ustalenia wyników głosowania lub wyniku referendum, może go wnieść każda osoba uprawniona do udziału w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Protest przeciwko ważności referendum z powodu naruszenia przepisów niniejszej ustawy dotyczących głosowania, ustalenia wyników głosowania w obwodzie lub przez komisarza wyborczego może wnieść osoba, której nazwisko w dniu głosowania było umieszczone w spisie osób uprawnionych do udziału w referendum odpowiednio w tym obwodzie głosowania lub na obszarze objętym właściwością komisarza wyborczego.</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Prawo wniesienia protestu przysługuje również przewodniczącemu komisji obwodowej, podmiotowi uprawnionemu, o którym mowa w art. 48, lub upoważnionej przez niego osobie.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34.  </w:t>
      </w:r>
      <w:r w:rsidRPr="005D224A">
        <w:rPr>
          <w:rFonts w:ascii="Arial Narrow" w:hAnsi="Arial Narrow"/>
          <w:color w:val="000000"/>
          <w:szCs w:val="24"/>
        </w:rPr>
        <w:t>1.  Protest wnosi się do Sądu Najwyższego na piśmie w terminie 7 dni od dnia ogłoszenia wyniku referendum przez Państwową Komisję Wyborczą w Dzienniku Ustaw Rzeczypospolitej Polskiej.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 xml:space="preserve">2.  Do warunków i trybu wnoszenia protestu oraz sposobu jego rozpatrywania i trybu podejmowania uchwały w tej sprawie przez Sąd Najwyższy stosuje się odpowiednio przepisy </w:t>
      </w:r>
      <w:r w:rsidRPr="005D224A">
        <w:rPr>
          <w:rFonts w:ascii="Arial Narrow" w:hAnsi="Arial Narrow"/>
          <w:color w:val="1B1B1B"/>
          <w:szCs w:val="24"/>
        </w:rPr>
        <w:t>ustawy</w:t>
      </w:r>
      <w:r w:rsidRPr="005D224A">
        <w:rPr>
          <w:rFonts w:ascii="Arial Narrow" w:hAnsi="Arial Narrow"/>
          <w:color w:val="000000"/>
          <w:szCs w:val="24"/>
        </w:rPr>
        <w:t xml:space="preserve"> z dnia 5 stycznia 2011 r. - Kodeks wyborczy.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35.  </w:t>
      </w:r>
      <w:r w:rsidRPr="005D224A">
        <w:rPr>
          <w:rFonts w:ascii="Arial Narrow" w:hAnsi="Arial Narrow"/>
          <w:color w:val="000000"/>
          <w:szCs w:val="24"/>
        </w:rPr>
        <w:t>1.  Sąd Najwyższy rozstrzyga o ważności referendum, podejmując w tej sprawie uchwałę nie później niż w 60 dniu od dnia ogłoszenia wyniku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 xml:space="preserve">2.  W sprawie, o której mowa w </w:t>
      </w:r>
      <w:r w:rsidR="00465176">
        <w:rPr>
          <w:rFonts w:ascii="Arial Narrow" w:hAnsi="Arial Narrow"/>
          <w:color w:val="000000"/>
          <w:szCs w:val="24"/>
        </w:rPr>
        <w:t>ust.</w:t>
      </w:r>
      <w:r w:rsidRPr="005D224A">
        <w:rPr>
          <w:rFonts w:ascii="Arial Narrow" w:hAnsi="Arial Narrow"/>
          <w:color w:val="000000"/>
          <w:szCs w:val="24"/>
        </w:rPr>
        <w:t xml:space="preserve"> 1, Sąd Najwyższy orzeka w składzie całej właściwej izby.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Uchwałę o ważności referendum przedstawia się niezwłocznie Prezydentowi Rzeczypospolitej, Marszałkowi Sejmu, Marszałkowi Senatu i Prezesowi Rady Ministrów, a także Państwowej Komisji Wyborczej.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Uchwałę o ważności referendum ogłasza się w Dzienniku Ustaw Rzeczypospolitej Polskiej.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36.  </w:t>
      </w:r>
      <w:r w:rsidRPr="005D224A">
        <w:rPr>
          <w:rFonts w:ascii="Arial Narrow" w:hAnsi="Arial Narrow"/>
          <w:color w:val="000000"/>
          <w:szCs w:val="24"/>
        </w:rPr>
        <w:t>1.  W razie podjęcia przez Sąd Najwyższy uchwały o unieważnieniu głosowania w obwodzie lub w obwodach, jeżeli unieważnienie głosowania nie wpływa na wynik referendum, Państwowa Komisja Wyborcza, w drodze uchwały, koryguje wyniki głosowania. Przy ustalaniu wyniku referendum nie uwzględnia się liczby osób uprawnionych do głosowania oraz wyników głosowania w tym obwodzie lub w obwodach. Skorygowany wynik Państwowa Komisja Wyborcza podaje niezwłocznie do wiadomości publicznej oraz ogłasza, w formie obwieszczenia, w Dzienniku Ustaw Rzeczypospolitej Polskiej.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Jeżeli unieważnienie głosowania w obwodzie lub w obwodach wpływa na wynik referendum, Sąd Najwyższy w uchwale postanawia o przeprowadzeniu ponownego głosowania w tym obwodzie lub w obwodach albo wskazuje czynność, od której należy ponowić postępowanie.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 xml:space="preserve">3.  Na podstawie uchwały Sądu Najwyższego, o której mowa w ust. 2, Państwowa Komisja Wyborcza, w drodze uchwały, niezwłocznie zarządza przeprowadzenie ponownego głosowania w obwodzie lub w obwodach na dzień wolny od pracy przypadający w terminie 20 dni od dnia ogłoszenia uchwały Sądu Najwyższego albo zarządza podjęcie </w:t>
      </w:r>
      <w:r w:rsidRPr="005D224A">
        <w:rPr>
          <w:rFonts w:ascii="Arial Narrow" w:hAnsi="Arial Narrow"/>
          <w:color w:val="000000"/>
          <w:szCs w:val="24"/>
        </w:rPr>
        <w:lastRenderedPageBreak/>
        <w:t>wskazanych czynności, od których należy ponowić postępowanie. Uchwałę Państwowej Komisji Wyborczej podaje się do wiadomości publicznej i ogłasza w Dzienniku Ustaw Rzeczypospolitej Polskiej.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Ponowne głosowanie w obwodzie lub w obwodach przeprowadza się na podstawie tych samych spisów osób uprawnionych do udziału w referendum i przez te same komisje obwodowe, chyba że podstawą unieważnienia głosowania były zarzuty odnoszące się do komisji lub do nieprawidłowości w spisie. W takim przypadku powołuje się nowe komisje lub sporządza się nowe spisy.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5.  Po ustaleniu wyników ponownego głosowania w obwodzie lub w obwodach komisarz wyborczy koryguje wyniki głosowania na obszarze swojej właściwości, a Państwowa Komisja Wyborcza, w drodze uchwały, ustala skorygowane wyniki głosowania i wynik referendum. Uchwałę Państwowej Komisji Wyborczej podaje się do wiadomości publicznej i ogłasza w Dzienniku Ustaw Rzeczypospolitej Polskiej.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6.  O wynikach referendum, o których mowa w ust. 1 i 5, zawiadamia się Prezydenta Rzeczypospolitej, Marszałka Sejmu, Marszałka Senatu, Prezesa Rady Ministrów oraz Sąd Najwyższy.</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Rozdział  6</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Kampania referendalna i jej finansowanie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37.  </w:t>
      </w:r>
      <w:r w:rsidRPr="005D224A">
        <w:rPr>
          <w:rFonts w:ascii="Arial Narrow" w:hAnsi="Arial Narrow"/>
          <w:color w:val="000000"/>
          <w:szCs w:val="24"/>
        </w:rPr>
        <w:t>Kampanią referendalną jest prezentowanie swojego stanowiska przez obywateli, partie polityczne, stowarzyszenia, fundacje oraz inne podmioty w sprawie poddanej pod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38.  </w:t>
      </w:r>
      <w:r w:rsidRPr="005D224A">
        <w:rPr>
          <w:rFonts w:ascii="Arial Narrow" w:hAnsi="Arial Narrow"/>
          <w:color w:val="000000"/>
          <w:szCs w:val="24"/>
        </w:rPr>
        <w:t>Kampania referendalna rozpoczyna się z dniem ogłoszenia odpowiednio uchwały Sejmu, postanowienia Prezydenta Rzeczypospolitej lub postanowienia Marszałka Sejmu o zarządzeniu referendum i ulega zakończeniu na 24 godziny przed dniem głosowania.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39.  </w:t>
      </w:r>
      <w:r w:rsidRPr="005D224A">
        <w:rPr>
          <w:rFonts w:ascii="Arial Narrow" w:hAnsi="Arial Narrow"/>
          <w:color w:val="000000"/>
          <w:szCs w:val="24"/>
        </w:rPr>
        <w:t>1.  Od zakończenia kampanii referendalnej aż do zakończenia głosowania zabronione jest zwoływanie zgromadzeń, organizowanie pochodów i manifestacji, wygłaszanie przemówień, rozdawanie ulotek, jak też prowadzenie w inny sposób kampanii referendalnej.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Zabronione są wszelkie formy kampanii referendalnej w lokalu komisji obwodowej oraz na terenie budynku, w którym ten lokal się znajduje.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40.  </w:t>
      </w:r>
      <w:r w:rsidRPr="005D224A">
        <w:rPr>
          <w:rFonts w:ascii="Arial Narrow" w:hAnsi="Arial Narrow"/>
          <w:color w:val="000000"/>
          <w:szCs w:val="24"/>
        </w:rPr>
        <w:t>1.  Zabronione jest prowadzenie kampanii referendalnej na terenie zakładów pracy w sposób i w formach zakłócających ich normalne funkcjonowanie.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Zabronione jest prowadzenie kampanii referendalnej na terenie:</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urzędów administracji rządowej i administracji samorządu terytorialnego oraz sądów;</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jednostek wojskowych i innych jednostek organizacyjnych podległych Ministrowi Obrony Narodowej oraz oddziałów obrony cywilnej;</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skoszarowanych jednostek podległych ministrowi właściwemu do spraw wewnętrznych.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Zabronione jest organizowanie w ramach prowadzonej kampanii referendalnej gier losowych i konkursów, w których wygranymi są nagrody pieniężne lub przedmioty o wartości wyższej niż wartość przedmiotów zwyczajowo używanych w celach reklamowych lub promocyjnych.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Zabronione jest podawanie oraz dostarczanie napojów alkoholowych w ramach prowadzonej kampanii referendalnej.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lastRenderedPageBreak/>
        <w:t xml:space="preserve">Art.  41.  </w:t>
      </w:r>
      <w:r w:rsidRPr="005D224A">
        <w:rPr>
          <w:rFonts w:ascii="Arial Narrow" w:hAnsi="Arial Narrow"/>
          <w:color w:val="000000"/>
          <w:szCs w:val="24"/>
        </w:rPr>
        <w:t xml:space="preserve">1.  Od zakończenia kampanii referendalnej aż do zakończenia głosowania zabronione jest podawanie do wiadomości publicznej wyników badań (sondaży) opinii publicznej dotyczących przewidywanych </w:t>
      </w:r>
      <w:proofErr w:type="spellStart"/>
      <w:r w:rsidRPr="005D224A">
        <w:rPr>
          <w:rFonts w:ascii="Arial Narrow" w:hAnsi="Arial Narrow"/>
          <w:color w:val="000000"/>
          <w:szCs w:val="24"/>
        </w:rPr>
        <w:t>zachowań</w:t>
      </w:r>
      <w:proofErr w:type="spellEnd"/>
      <w:r w:rsidRPr="005D224A">
        <w:rPr>
          <w:rFonts w:ascii="Arial Narrow" w:hAnsi="Arial Narrow"/>
          <w:color w:val="000000"/>
          <w:szCs w:val="24"/>
        </w:rPr>
        <w:t xml:space="preserve"> głosujących w referendum i wyników referendum oraz sondaży przeprowadzonych w dniu głosowania.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Zakaz, o którym mowa w ust. 1, nie dotyczy podawania do wiadomości publicznej danych komisji obwodowych, o których mowa w art. 32 ust. 4a.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42.  </w:t>
      </w:r>
      <w:r w:rsidRPr="005D224A">
        <w:rPr>
          <w:rFonts w:ascii="Arial Narrow" w:hAnsi="Arial Narrow"/>
          <w:color w:val="000000"/>
          <w:szCs w:val="24"/>
        </w:rPr>
        <w:t>Wszelkie plakaty, hasła lub ulotki oraz inne materiały dotyczące referendum, zawierające oznaczenie, od kogo pochodzą, podlegają ochronie prawnej.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43.  </w:t>
      </w:r>
      <w:r w:rsidRPr="005D224A">
        <w:rPr>
          <w:rFonts w:ascii="Arial Narrow" w:hAnsi="Arial Narrow"/>
          <w:color w:val="000000"/>
          <w:szCs w:val="24"/>
        </w:rPr>
        <w:t>1.  Na ścianach budynków, ogrodzeniach, latarniach, urządzeniach energetycznych, telekomunikacyjnych i innych można umieszczać plakaty i hasła dotyczące referendum po uzyskaniu zgody właściciela lub zarządcy.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Zabronione jest umieszczanie plakatów i haseł dotyczących referendum na zewnątrz i wewnątrz budynków administracji rządowej i samorządowej oraz sądów, a także na terenie jednostek wojskowych i oddziałów obrony cywilnej oraz skoszarowanych jednostek podległych ministrowi właściwemu do spraw wewnętrznych.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Rada gminy może zabronić umieszczania plakatów lub haseł dotyczących referendum na niektórych budynkach publicznych, a także na określonych częściach terenów publicznych z przyczyn związanych z ochroną zabytków bądź środowiska.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Przy ustawianiu własnych urządzeń ogłoszeniowych w celu prowadzenia kampanii referendalnej należy stosować przepisy porządkowe. Przepis art. 42 stosuje się odpowiednio.</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5.  Plakaty i hasła dotyczące referendum należy umieszczać w taki sposób, aby można je było następnie usunąć bez powodowania szkód.</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6.  Policja oraz straż gminna są obowiązane usuwać na koszt podmiotu biorącego udział w kampanii referendalnej plakaty i hasła dotyczące referendum, których sposób umieszczenia może zagrażać życiu lub zdrowiu ludzi albo bezpieczeństwu mienia bądź bezpieczeństwu w ruchu drogowym.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7.  Plakaty i hasła dotyczące referendum oraz urządzenia ogłoszeniowe ustawione w celu prowadzenia kampanii referendalnej właściwe podmioty biorące udział w tej kampanii obowiązane są usunąć w terminie 30 dni od dnia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8.  Wójt lub burmistrz (prezydent miasta) postanawia o usunięciu plakatów i haseł dotyczących referendum oraz urządzeń ogłoszeniowych umieszczonych z naruszeniem przepisów ust. 1-5 lub nieusuniętych przez właściwe podmioty biorące udział w kampanii referendalnej w terminie, o którym mowa w ust. 7. Koszty ich usunięcia ponoszą zobowiązane podmioty.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44.  </w:t>
      </w:r>
      <w:r w:rsidRPr="005D224A">
        <w:rPr>
          <w:rFonts w:ascii="Arial Narrow" w:hAnsi="Arial Narrow"/>
          <w:color w:val="000000"/>
          <w:szCs w:val="24"/>
        </w:rPr>
        <w:t>1.  Jeżeli rozpowszechniane, w tym również w prasie w rozumieniu prawa prasowego, materiały dotyczące referendum, a w szczególności plakaty, ulotki, hasła i wypowiedzi lub inne formy prowadzonej kampanii referendalnej zawierają informacje nieprawdziwe, każdy, czyjego prawa dotyczy wynik postępowania, o którym mowa w ust. 2, ma prawo wnieść do sądu okręgowego wniosek o wydanie orzeczenia:</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zakazu rozpowszechniania takich informacji;</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przepadku materiałów zawierających takie informacje;</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nakazania sprostowania takich informacji;</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lastRenderedPageBreak/>
        <w:t>4) nakazania publikacji odpowiedzi na stwierdzenia naruszające dobra osobiste;</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5) nakazania przeproszenia osoby, której dobra osobiste zostały naruszone.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Sąd okręgowy rozpoznaje wniosek, o którym mowa w ust.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która złożyła wniosek, o którym mowa w ust. 1, i zobowiązanemu do wykonania zobowiązania sądu.</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Na postanowienie sądu okręgowego przysługuje w ciągu 24 godzin zażalenie do sądu apelacyjnego, który rozpoznaje je w ciągu 24 godzin. Od postanowienia sądu apelacyjnego nie przysługuje skarga kasacyjna i podlega ono natychmiastowemu wykonaniu.</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Przedstawienie przez zobowiązanego do publikacji sprostowania, odpowiedzi lub przeprosin następuje najpóźniej w ciągu 24 godzin od doręczenia postanowienia, na koszt zobowiązanego. W orzeczeniu sąd wskazuje prasę, w rozumieniu prawa prasowego, w której ma nastąpić publikacja. Publikacja następuje niezwłocznie.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5.  W razie odmowy lub niezamieszczenia sprostowania, odpowiedzi lub przeprosin przez zobowiązanego w sposób określony w postanowieniu sądu, sąd na wniosek osoby, która złożyła wniosek, o którym mowa w ust. 1, zarządza ich publikację na koszt zobowiązanego, w trybie postępowania egzekucyjnego.</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45.  </w:t>
      </w:r>
      <w:r w:rsidRPr="005D224A">
        <w:rPr>
          <w:rFonts w:ascii="Arial Narrow" w:hAnsi="Arial Narrow"/>
          <w:color w:val="000000"/>
          <w:szCs w:val="24"/>
        </w:rPr>
        <w:t>Wykonanie uprawnień wynikających z niniejszej ustawy nie ogranicza możliwości dochodzenia przez osoby pokrzywdzone lub poszkodowane uprawnień na podstawie innych ustaw.</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46.  </w:t>
      </w:r>
      <w:r w:rsidRPr="005D224A">
        <w:rPr>
          <w:rFonts w:ascii="Arial Narrow" w:hAnsi="Arial Narrow"/>
          <w:color w:val="000000"/>
          <w:szCs w:val="24"/>
        </w:rPr>
        <w:t>Informacje, komunikaty, apele i hasła dotyczące referendum ogłaszane w prasie drukowanej lub w telewizji bądź radiu na koszt podmiotów biorących udział w kampanii referendalnej muszą zawierać wskazanie, przez kogo są opłacane i od kogo pochodzą. Odpowiedzialnym za umieszczenie tego wskazania przez podmiot biorący udział w kampanii referendalnej jest redaktor w rozumieniu przepisów prawa prasowego.</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47.  </w:t>
      </w:r>
      <w:r w:rsidRPr="005D224A">
        <w:rPr>
          <w:rFonts w:ascii="Arial Narrow" w:hAnsi="Arial Narrow"/>
          <w:color w:val="000000"/>
          <w:szCs w:val="24"/>
        </w:rPr>
        <w:t>1.  Wydatki ponoszone przez podmioty biorące udział w kampanii referendalnej pokrywane są z ich źródeł własnych i zgodnie z przepisami określającymi ich działalność finansową.</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 xml:space="preserve">2.  Do finansowania kampanii referendalnej nie mają zastosowania przepisy </w:t>
      </w:r>
      <w:r w:rsidRPr="005D224A">
        <w:rPr>
          <w:rFonts w:ascii="Arial Narrow" w:hAnsi="Arial Narrow"/>
          <w:color w:val="1B1B1B"/>
          <w:szCs w:val="24"/>
        </w:rPr>
        <w:t>ustawy</w:t>
      </w:r>
      <w:r w:rsidRPr="005D224A">
        <w:rPr>
          <w:rFonts w:ascii="Arial Narrow" w:hAnsi="Arial Narrow"/>
          <w:color w:val="000000"/>
          <w:szCs w:val="24"/>
        </w:rPr>
        <w:t xml:space="preserve"> z dnia 5 stycznia 2011 r. - Kodeks wyborczy.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48.  </w:t>
      </w:r>
      <w:r w:rsidRPr="005D224A">
        <w:rPr>
          <w:rFonts w:ascii="Arial Narrow" w:hAnsi="Arial Narrow"/>
          <w:color w:val="000000"/>
          <w:szCs w:val="24"/>
        </w:rPr>
        <w:t>1.  Podmiotami uprawnionymi do udziału w kampanii referendalnej w programach radiowych i telewizyjnych, o których mowa w art. 49-55, zwanymi dalej "podmiotami uprawnionymi", są:</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partia polityczna, która w ostatnich przed referendum wyborach do Sejmu:</w:t>
      </w:r>
    </w:p>
    <w:p w:rsidR="00A20C06" w:rsidRPr="005D224A" w:rsidRDefault="005D224A" w:rsidP="00990F74">
      <w:pPr>
        <w:spacing w:after="0" w:line="360" w:lineRule="auto"/>
        <w:ind w:left="746"/>
        <w:jc w:val="both"/>
        <w:rPr>
          <w:rFonts w:ascii="Arial Narrow" w:hAnsi="Arial Narrow"/>
          <w:szCs w:val="24"/>
        </w:rPr>
      </w:pPr>
      <w:r w:rsidRPr="005D224A">
        <w:rPr>
          <w:rFonts w:ascii="Arial Narrow" w:hAnsi="Arial Narrow"/>
          <w:color w:val="000000"/>
          <w:szCs w:val="24"/>
        </w:rPr>
        <w:t>a) samodzielnie tworząc komitet wyborczy, otrzymała, w skali kraju, co najmniej 3% ważnie oddanych głosów na jej okręgowe listy kandydatów na posłów,</w:t>
      </w:r>
    </w:p>
    <w:p w:rsidR="00A20C06" w:rsidRPr="005D224A" w:rsidRDefault="005D224A" w:rsidP="00990F74">
      <w:pPr>
        <w:spacing w:after="0" w:line="360" w:lineRule="auto"/>
        <w:ind w:left="746"/>
        <w:jc w:val="both"/>
        <w:rPr>
          <w:rFonts w:ascii="Arial Narrow" w:hAnsi="Arial Narrow"/>
          <w:szCs w:val="24"/>
        </w:rPr>
      </w:pPr>
      <w:r w:rsidRPr="005D224A">
        <w:rPr>
          <w:rFonts w:ascii="Arial Narrow" w:hAnsi="Arial Narrow"/>
          <w:color w:val="000000"/>
          <w:szCs w:val="24"/>
        </w:rPr>
        <w:t>b) wchodziła w skład koalicji wyborczej, której okręgowe listy kandydatów na posłów otrzymały, w skali kraju, co najmniej 6% ważnie oddanych głosów;</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 xml:space="preserve">2) klub poselski, klub senatorski oraz klub parlamentarny, które na rok przed dniem ogłoszenia uchwały lub postanowienia o zarządzeniu referendum zrzeszały odpowiednio posłów lub senatorów wybranych spośród </w:t>
      </w:r>
      <w:r w:rsidRPr="005D224A">
        <w:rPr>
          <w:rFonts w:ascii="Arial Narrow" w:hAnsi="Arial Narrow"/>
          <w:color w:val="000000"/>
          <w:szCs w:val="24"/>
        </w:rPr>
        <w:lastRenderedPageBreak/>
        <w:t>kandydatów zgłoszonych przez komitet wyborczy wyborców, a posłowie lub senatorowie ci stanowili więcej niż połowę składu tych klubów;</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stowarzyszenie lub inna organizacja społeczna, która spełnia następujące warunki:</w:t>
      </w:r>
    </w:p>
    <w:p w:rsidR="00A20C06" w:rsidRPr="005D224A" w:rsidRDefault="005D224A" w:rsidP="00990F74">
      <w:pPr>
        <w:spacing w:after="0" w:line="360" w:lineRule="auto"/>
        <w:ind w:left="746"/>
        <w:jc w:val="both"/>
        <w:rPr>
          <w:rFonts w:ascii="Arial Narrow" w:hAnsi="Arial Narrow"/>
          <w:szCs w:val="24"/>
        </w:rPr>
      </w:pPr>
      <w:r w:rsidRPr="005D224A">
        <w:rPr>
          <w:rFonts w:ascii="Arial Narrow" w:hAnsi="Arial Narrow"/>
          <w:color w:val="000000"/>
          <w:szCs w:val="24"/>
        </w:rPr>
        <w:t>a) została zarejestrowana lub zgłoszona, zgodnie z obowiązującymi przepisami, nie później niż na rok przed dniem ogłoszenia uchwały lub postanowienia o zarządzeniu referendum,</w:t>
      </w:r>
    </w:p>
    <w:p w:rsidR="00A20C06" w:rsidRPr="005D224A" w:rsidRDefault="005D224A" w:rsidP="00990F74">
      <w:pPr>
        <w:spacing w:after="0" w:line="360" w:lineRule="auto"/>
        <w:ind w:left="746"/>
        <w:jc w:val="both"/>
        <w:rPr>
          <w:rFonts w:ascii="Arial Narrow" w:hAnsi="Arial Narrow"/>
          <w:szCs w:val="24"/>
        </w:rPr>
      </w:pPr>
      <w:r w:rsidRPr="005D224A">
        <w:rPr>
          <w:rFonts w:ascii="Arial Narrow" w:hAnsi="Arial Narrow"/>
          <w:color w:val="000000"/>
          <w:szCs w:val="24"/>
        </w:rPr>
        <w:t>b) obszar jej działania obejmuje całe terytorium Rzeczypospolitej Polskiej,</w:t>
      </w:r>
    </w:p>
    <w:p w:rsidR="00A20C06" w:rsidRPr="005D224A" w:rsidRDefault="005D224A" w:rsidP="00990F74">
      <w:pPr>
        <w:spacing w:after="0" w:line="360" w:lineRule="auto"/>
        <w:ind w:left="746"/>
        <w:jc w:val="both"/>
        <w:rPr>
          <w:rFonts w:ascii="Arial Narrow" w:hAnsi="Arial Narrow"/>
          <w:szCs w:val="24"/>
        </w:rPr>
      </w:pPr>
      <w:r w:rsidRPr="005D224A">
        <w:rPr>
          <w:rFonts w:ascii="Arial Narrow" w:hAnsi="Arial Narrow"/>
          <w:color w:val="000000"/>
          <w:szCs w:val="24"/>
        </w:rPr>
        <w:t>c) prowadzi działalność związaną z przedmiotem referendum, a działalność ta mieści się w zakresie jej celów statutowych;</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4) fundacja, która spełnia warunki określone w pkt 3 lit. a i c;</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5) pełnomocnik, o którym mowa w art. 63 ust. 3.</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Podmioty, o których mowa w ust. 1, najpóźniej w 40 dniu przed dniem referendum, zawiadamiają Państwową Komisję Wyborczą o zamiarze skorzystania z uprawnienia określonego w ust. 1, załączając do zawiadomienia:</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w przypadku partii politycznej - prawomocne postanowienie Sądu Okręgowego w Warszawie o wpisaniu partii do ewidencji partii politycznych;</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w przypadku klubu poselskiego, klubu senatorskiego oraz klubu parlamentarnego, o których mowa w ust. 1 pkt 2 - dokument wskazujący podmiot uprawniony do reprezentowania klubu oraz informację odpowiednio Marszałka Sejmu lub Marszałka Senatu o utworzeniu klubu;</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w przypadku stowarzyszenia lub innej organizacji społecznej oraz fundacji - uwierzytelniony statut i zaświadczenie albo oświadczenie o wpisie do rejestru w Krajowym Rejestrze Sądowym stowarzyszenia, organizacji lub fundacji albo regulaminu działalności stowarzyszenia zwykłego, poświadczonego przez właściwy organ nadzorujący;</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4) w przypadku pełnomocnika, o którym mowa w ust. 1 pkt 5 - oświadczenie, o którym mowa w art. 63 ust. 3.</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2a.  Oświadczenie, o którym mowa w ust. 2 pkt 3,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Państwowa Komisja Wyborcza na podstawie dokumentów, o których mowa w ust. 2, wydaje podmiotom uprawnionym zaświadczenie o przysługiwaniu tym podmiotom uprawnienia określonego w ust. 1.</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Jeżeli zawiadomienie, o którym mowa w ust. 2, nie spełnia warunków określonych w tym przepisie, Państwowa Komisja Wyborcza w terminie 3 dni od dnia doręczenia zawiadomienia odmawia wydania zaświadczenia.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5.  Postanowienie Państwowej Komisji Wyborczej o odmowie wydania zaświadczenia doręcza się niezwłocznie, wraz z uzasadnieniem, podmiotowi, który złożył zawiadomienie.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6.  Podmiotowi, o którym mowa w ust. 5, służy prawo wniesienia do Sądu Najwyższego skargi na postanowienie Państwowej Komisji Wyborczej o odmowie wydania zaświadczenia. Skargę wnosi się w terminie 3 dni od dnia doręczenia wnioskodawcy postanowienia o odmowie wydania zaświadczenia.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lastRenderedPageBreak/>
        <w:t>7.  Sąd Najwyższy rozpatruje skargę w postępowaniu nieprocesowym, w składzie 3 sędziów, i wydaje orzeczenie w sprawie skargi w terminie 5 dni. Od orzeczenia Sądu Najwyższego nie przysługuje środek prawny. Orzeczenie doręcza się podmiotowi, o którym mowa w ust. 5, i Państwowej Komisji Wyborczej. Jeżeli Sąd Najwyższy uzna skargę za zasadną, Państwowa Komisja Wyborcza niezwłocznie wydaje zaświadczenie, o którym mowa w ust. 3.</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49.  </w:t>
      </w:r>
      <w:r w:rsidRPr="005D224A">
        <w:rPr>
          <w:rFonts w:ascii="Arial Narrow" w:hAnsi="Arial Narrow"/>
          <w:color w:val="000000"/>
          <w:szCs w:val="24"/>
        </w:rPr>
        <w:t>1.  Podmioty uprawnione mają prawo prowadzenia kampanii referendalnej w programach radiowych i telewizyjnych nadawców publicznych, zgodnie z przepisami ustawy, w formie audycji referendalnych.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Audycją referendalną jest część programu radiowego lub telewizyjnego, niepochodząca od nadawcy, rozpowszechniana nieodpłatnie, stanowiąca odrębną całość ze względu na treść lub formę, umożliwiająca wykorzystanie przez podmiot uprawniony przysługującego mu czasu antenowego, o którym mowa w art. 50 lub art. 51, przeznaczonego na prowadzenie kampanii referendalnej.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Nadawca publiczny jest obowiązany do dokonywania na własny koszt rejestracji dostarczonej audycji referendalnej, przygotowanej przez podmiot uprawniony, obejmującej przegranie na nośniki dostosowane do rozpowszechniania, lub do udostępnienia studia wraz z realizatorem w celu nagrania audycji referendalnej przez podmiot uprawniony.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50.  </w:t>
      </w:r>
      <w:r w:rsidRPr="005D224A">
        <w:rPr>
          <w:rFonts w:ascii="Arial Narrow" w:hAnsi="Arial Narrow"/>
          <w:color w:val="000000"/>
          <w:szCs w:val="24"/>
        </w:rPr>
        <w:t>1.  W terminie od 16 dnia przed dniem referendum do zakończenia kampanii referendalnej Telewizja Polska Spółka Akcyjna oraz Polskie Radio Spółka Akcyjna i spółki radiofonii regionalnej, zwane dalej "Telewizją Polską" i "Polskim Radiem", rozpowszechniają na własny koszt w programach ogólnokrajowych i regionalnych audycje referendalne podmiotów uprawnionych.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Łączny czas rozpowszechniania audycji referendalnych wynosi:</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w ogólnokrajowych programach - 15 godzin w Telewizji Polskiej, w tym do 3 godzin w TV Polonia, i 30 godzin w Polskim Radiu, w tym do 5 godzin w programie przeznaczonym dla zagranicy;</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w każdym regionalnym programie - 10 godzin w Telewizji Polskiej i 15 godzin w Polskim Radiu.</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Podmiot uprawniony ma prawo do rozpowszechniania audycji referendalnych w programach ogólnokrajowych oraz regionalnych.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Czas przysługujący jednemu podmiotowi uprawnionemu nie może być odstępowany innemu podmiotowi uprawnionemu.</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51.  </w:t>
      </w:r>
      <w:r w:rsidRPr="005D224A">
        <w:rPr>
          <w:rFonts w:ascii="Arial Narrow" w:hAnsi="Arial Narrow"/>
          <w:color w:val="000000"/>
          <w:szCs w:val="24"/>
        </w:rPr>
        <w:t>1.  W przypadku referendum w sprawie wyrażenia zgody na ratyfikację umowy międzynarodowej, w terminie od 21 dnia przed dniem referendum do zakończenia kampanii referendalnej, Telewizja Polska oraz Polskie Radio rozpowszechniają na własny koszt w programach ogólnokrajowych i regionalnych audycje referendalne podmiotów uprawnionych.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Łączny czas rozpowszechniania audycji referendalnych wynosi:</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w ogólnokrajowych programach - 25 godzin w Telewizji Polskiej, w tym do 5 godzin w TV Polonia, i 45 godzin w Polskim Radiu, w tym do 8 godzin w programie przeznaczonym dla zagranicy;</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w każdym regionalnym programie - 15 godzin w Telewizji Polskiej i 20 godzin w Polskim Radiu.</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Przepisy art. 50 ust. 3 i 4 stosuje się odpowiednio.</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52.  </w:t>
      </w:r>
      <w:r w:rsidRPr="005D224A">
        <w:rPr>
          <w:rFonts w:ascii="Arial Narrow" w:hAnsi="Arial Narrow"/>
          <w:color w:val="000000"/>
          <w:szCs w:val="24"/>
        </w:rPr>
        <w:t>1.  Czas przeznaczony na rozpowszechnianie audycji referendalnych dzieli się równo między podmioty uprawnione na podstawie informacji Państwowej Komisji Wyborczej o podmiotach uprawnionych.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lastRenderedPageBreak/>
        <w:t>2.  Podziału czasu przeznaczonego na rozpowszechnianie audycji referendalnych:</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w programach ogólnokrajowych - dokonują odpowiednio zarządy Telewizji Polskiej i Polskiego Radia;</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w programach regionalnych - dokonują właściwi dyrektorzy oddziałów Telewizji Polskiej i prezesi zarządów spółek Polskiego Radia.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Na ustalenia dotyczące podziału czasu antenowego, o których mowa w ust. 2, podmiotowi uprawnionemu przysługuje skarga do Państwowej Komisji Wyborczej. Skargę wnosi się w terminie 2 dni od dnia doręczenia informacji o dokonaniu ustalenia. Państwowa Komisja Wyborcza rozpatruje sprawę niezwłocznie i wydaje postanowienie. Od postanowienia Państwowej Komisji Wyborczej nie przysługuje środek prawny.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53.  </w:t>
      </w:r>
      <w:r w:rsidRPr="005D224A">
        <w:rPr>
          <w:rFonts w:ascii="Arial Narrow" w:hAnsi="Arial Narrow"/>
          <w:color w:val="000000"/>
          <w:szCs w:val="24"/>
        </w:rPr>
        <w:t>1.  Kolejność rozpowszechniania w każdym dniu audycji referendalnych ustalają kierujący redakcjami właściwych ogólnokrajowych programów telewizyjnych, w tym TV Polonia, i programów regionalnych oraz programów radiowych, w drodze losowania przeprowadzonego w obecności przedstawicieli podmiotów uprawnionych najpóźniej w 18 dniu przed dniem referendum, z zastrzeżeniem ust. 2.</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W przypadku referendum w sprawie wyrażenia zgody na ratyfikację umowy międzynarodowej losowanie, o którym mowa w ust. 1, przeprowadza się najpóźniej w 23 dniu przed dniem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54.  </w:t>
      </w:r>
      <w:r w:rsidRPr="005D224A">
        <w:rPr>
          <w:rFonts w:ascii="Arial Narrow" w:hAnsi="Arial Narrow"/>
          <w:color w:val="000000"/>
          <w:szCs w:val="24"/>
        </w:rPr>
        <w:t>1.  Audycje referendalne podmiotu uprawnionego dostarczane są do Telewizji Polskiej lub Polskiego Radia nie później niż na 24 godziny przed dniem ich rozpowszechnienia.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Czas audycji referendalnych dostarczonych przez podmioty uprawnione nie może przekraczać czasu ustalonego dla nich na podstawie przepisów, o których mowa w art. 52.</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W przypadku stwierdzenia przez Telewizję Polską lub Polskie Radio, że dostarczone przez podmiot uprawniony materiały audycji referendalnych przekraczają czas ustalony dla tych audycji, Telewizja Polska lub Polskie Radio wzywają niezwłocznie podmiot uprawniony do skrócenia czasu audycji.</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Jeżeli podmiot uprawniony nie zastosuje się w ciągu 8 godzin do wezwania, o którym mowa w ust. 3, Telewizja Polska lub Polskie Radio przerywa rozpowszechnianie audycji referendalnej w chwili, kiedy upłynął czas audycji przysługujący podmiotowi uprawnionemu.</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55.  </w:t>
      </w:r>
      <w:r w:rsidRPr="005D224A">
        <w:rPr>
          <w:rFonts w:ascii="Arial Narrow" w:hAnsi="Arial Narrow"/>
          <w:color w:val="000000"/>
          <w:szCs w:val="24"/>
        </w:rPr>
        <w:t>1.  Krajowa Rada Radiofonii i Telewizji, po porozumieniu z Państwową Komisją Wyborczą, określi, w drodze rozporządzenia, tryb postępowania w sprawach podziału czasu rozpowszechniania audycji referendalnych, sposób przygotowania i rozpowszechniania tych audycji, a także sposób upowszechniania informacji o terminach rozpowszechniania audycji referendalnych.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Krajowa Rada Radiofonii i Telewizji, po zasięgnięciu opinii zarządów spółek, o których mowa w art. 50 ust. 1, oraz właściwej rady programowej, określi, w drodze rozporządzenia:</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czas przeznaczony na rozpowszechnianie audycji referendalnych w każdym z programów ogólnokrajowych i regionalnych;</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ramowy podział czasu rozpowszechniania audycji referendalnych w programach ogólnokrajowych i regionalnych.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56.  </w:t>
      </w:r>
      <w:r w:rsidRPr="005D224A">
        <w:rPr>
          <w:rFonts w:ascii="Arial Narrow" w:hAnsi="Arial Narrow"/>
          <w:color w:val="000000"/>
          <w:szCs w:val="24"/>
        </w:rPr>
        <w:t>1.  Każdy podmiot biorący udział w kampanii referendalnej może od dnia rozpoczęcia kampanii referendalnej odpłatnie rozpowszechniać ogłoszenia referendalne w programach nadawców radiowych i telewizyjnych.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lastRenderedPageBreak/>
        <w:t xml:space="preserve">2.  Ogłoszeniem referendalnym jest reklama w </w:t>
      </w:r>
      <w:r w:rsidRPr="00465176">
        <w:rPr>
          <w:rFonts w:ascii="Arial Narrow" w:hAnsi="Arial Narrow"/>
          <w:color w:val="000000"/>
          <w:szCs w:val="24"/>
        </w:rPr>
        <w:t xml:space="preserve">rozumieniu </w:t>
      </w:r>
      <w:r w:rsidRPr="00465176">
        <w:rPr>
          <w:rFonts w:ascii="Arial Narrow" w:hAnsi="Arial Narrow"/>
          <w:color w:val="1B1B1B"/>
          <w:szCs w:val="24"/>
        </w:rPr>
        <w:t xml:space="preserve">art. 4 pkt </w:t>
      </w:r>
      <w:r w:rsidR="00465176">
        <w:rPr>
          <w:rFonts w:ascii="Arial Narrow" w:hAnsi="Arial Narrow"/>
          <w:color w:val="1B1B1B"/>
          <w:szCs w:val="24"/>
        </w:rPr>
        <w:t>17</w:t>
      </w:r>
      <w:r w:rsidRPr="00465176">
        <w:rPr>
          <w:rFonts w:ascii="Arial Narrow" w:hAnsi="Arial Narrow"/>
          <w:color w:val="000000"/>
          <w:szCs w:val="24"/>
        </w:rPr>
        <w:t xml:space="preserve">  ustawy z</w:t>
      </w:r>
      <w:r w:rsidRPr="005D224A">
        <w:rPr>
          <w:rFonts w:ascii="Arial Narrow" w:hAnsi="Arial Narrow"/>
          <w:color w:val="000000"/>
          <w:szCs w:val="24"/>
        </w:rPr>
        <w:t xml:space="preserve"> dnia 29 grudnia 1992 r. o radiofonii i telewizji (Dz. U. z 2020 r. poz. 805), przygotowana przez podmiot, o którym mowa w ust. 1, i przekazana do rozpowszechniania w ramach prowadzonej kampanii referendalnej.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Wysokość opłat pobieranych za czas rozpowszechniania ogłoszeń referendalnych musi być jednakowa dla wszystkich podmiotów oraz ustalana według cennika obowiązującego w dniu ogłoszenia uchwały lub postanowienia o zarządzeniu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Do ogłoszeń referendalnych stosuje się przepisy o działalności reklamowej w programach radiofonii i telewizji, z tym że czasu przeznaczonego na rozpowszechnianie ogłoszeń referendalnych nie wlicza się do ustalonego odrębnymi przepisami dopuszczalnego wymiaru czasowego reklam.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57.  </w:t>
      </w:r>
      <w:r w:rsidRPr="005D224A">
        <w:rPr>
          <w:rFonts w:ascii="Arial Narrow" w:hAnsi="Arial Narrow"/>
          <w:color w:val="000000"/>
          <w:szCs w:val="24"/>
        </w:rPr>
        <w:t>.  Nadawcy nie ponoszą odpowiedzialności za treść rozpowszechnianych audycji referendalnych i ogłoszeń referendalnych.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Nadawcy nie mogą odmówić rozpowszechniania audycji referendalnych i ogłoszeń referendalnych.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58.  </w:t>
      </w:r>
      <w:r w:rsidRPr="005D224A">
        <w:rPr>
          <w:rFonts w:ascii="Arial Narrow" w:hAnsi="Arial Narrow"/>
          <w:color w:val="000000"/>
          <w:szCs w:val="24"/>
        </w:rPr>
        <w:t>Nie jest kampanią referendalną przekazywanie przez organy władzy państwowej, w tym przez organ zarządzający referendum, informacji mających na celu przedstawianie i wyjaśnianie treści pytań lub zaproponowanych wariantów rozwiązań oraz udzielanie odpowiedzi na pytania obywateli dotyczące referendum.</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Rozdział  7</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Finansowanie referendum z budżetu państwa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59.  </w:t>
      </w:r>
      <w:r w:rsidRPr="005D224A">
        <w:rPr>
          <w:rFonts w:ascii="Arial Narrow" w:hAnsi="Arial Narrow"/>
          <w:color w:val="000000"/>
          <w:szCs w:val="24"/>
        </w:rPr>
        <w:t>1.  Wydatki związane z organizacją przygotowań i przeprowadzeniem referendum pokrywane są z budżetu państwa w części Rezerwy celowe.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Z budżetu państwa pokrywane są wydatki związane z:</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zadaniami Państwowej Komisji Wyborczej oraz Krajowego Biura Wyborczego przewidzianymi w ustawie;</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zadaniami komisarzy wyborczych i komisji obwodowych oraz zapewnieniem ich obsługi przez wyznaczone do tych celów organy i jednostki organizacyjne;</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zadaniami organów administracji rządowej oraz podległych im urzędów centralnych i jednostek organizacyjnych, a także innych organów państwowych;</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4) zadaniami zleconymi do wykonania przez jednostki samorządu terytorialnego.</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Środki finansowe na zadania zlecone wykonywane przez jednostki samorządu terytorialnego są przekazywane w terminach umożliwiających ich wykonywanie.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 xml:space="preserve">4.  Informację o wydatkach, o </w:t>
      </w:r>
      <w:r w:rsidRPr="00465176">
        <w:rPr>
          <w:rFonts w:ascii="Arial Narrow" w:hAnsi="Arial Narrow"/>
          <w:color w:val="000000"/>
          <w:szCs w:val="24"/>
        </w:rPr>
        <w:t xml:space="preserve">których mowa w ust. 2, </w:t>
      </w:r>
      <w:r w:rsidR="00465176" w:rsidRPr="00465176">
        <w:rPr>
          <w:rFonts w:ascii="Arial Narrow" w:hAnsi="Arial Narrow"/>
          <w:color w:val="000000"/>
          <w:szCs w:val="24"/>
        </w:rPr>
        <w:t xml:space="preserve">Szef Krajowego Biura Wyborczego </w:t>
      </w:r>
      <w:r w:rsidRPr="00465176">
        <w:rPr>
          <w:rFonts w:ascii="Arial Narrow" w:hAnsi="Arial Narrow"/>
          <w:color w:val="000000"/>
          <w:szCs w:val="24"/>
        </w:rPr>
        <w:t>podaje do</w:t>
      </w:r>
      <w:r w:rsidRPr="005D224A">
        <w:rPr>
          <w:rFonts w:ascii="Arial Narrow" w:hAnsi="Arial Narrow"/>
          <w:color w:val="000000"/>
          <w:szCs w:val="24"/>
        </w:rPr>
        <w:t xml:space="preserve"> wiadomości publicznej w terminie 5 miesięcy od dnia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5.  Zasady planowania finansowego oraz realizacji wydatków, o których mowa w ust. 2 i 3, a także sprawozdawczości finansowej określają przepisy o finansach publicznych.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 xml:space="preserve">6.  Dysponentem środków finansowych, o których mowa w ust. 1, jest </w:t>
      </w:r>
      <w:r w:rsidR="00465176">
        <w:rPr>
          <w:rFonts w:ascii="Arial Narrow" w:hAnsi="Arial Narrow"/>
          <w:color w:val="000000"/>
          <w:szCs w:val="24"/>
        </w:rPr>
        <w:t>Szef Krajowego Biura Wyborczego</w:t>
      </w:r>
      <w:r w:rsidRPr="005D224A">
        <w:rPr>
          <w:rFonts w:ascii="Arial Narrow" w:hAnsi="Arial Narrow"/>
          <w:color w:val="000000"/>
          <w:szCs w:val="24"/>
        </w:rPr>
        <w:t>.</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Rozdział  8</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Referendum w sprawach o szczególnym znaczeniu dla państwa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60.  </w:t>
      </w:r>
      <w:r w:rsidRPr="005D224A">
        <w:rPr>
          <w:rFonts w:ascii="Arial Narrow" w:hAnsi="Arial Narrow"/>
          <w:color w:val="000000"/>
          <w:szCs w:val="24"/>
        </w:rPr>
        <w:t>W sprawach o szczególnym znaczeniu dla państwa referendum ma prawo zarządzić:</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lastRenderedPageBreak/>
        <w:t>1) Sejm, uchwałą podjętą bezwzględną większością głosów w obecności co najmniej połowy ustawowej liczby posłów, lub</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Prezydent Rzeczypospolitej, za zgodą Senatu wyrażoną bezwzględną większością głosów w obecności co najmniej połowy ustawowej liczby senatorów.</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61.  </w:t>
      </w:r>
      <w:r w:rsidRPr="005D224A">
        <w:rPr>
          <w:rFonts w:ascii="Arial Narrow" w:hAnsi="Arial Narrow"/>
          <w:color w:val="000000"/>
          <w:szCs w:val="24"/>
        </w:rPr>
        <w:t>1.  Sejm może postanowić o poddaniu pod referendum określonej sprawy z własnej inicjatywy, a także na wniosek Senatu, Rady Ministrów lub obywateli. W przypadku gdy Sejm, w drodze uchwały, nie uwzględni wniosku o przeprowadzenie referendum, Marszałek Sejmu informuje o tym wnioskodawcę.</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Wniosek o zarządzenie referendum powinien określać propozycje pytań lub wariantów rozwiązania w sprawie poddanej pod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62.  </w:t>
      </w:r>
      <w:r w:rsidRPr="005D224A">
        <w:rPr>
          <w:rFonts w:ascii="Arial Narrow" w:hAnsi="Arial Narrow"/>
          <w:color w:val="000000"/>
          <w:szCs w:val="24"/>
        </w:rPr>
        <w:t>1.  Sejm w uchwale o zarządzeniu referendum ustala treść pytań lub wariantów rozwiązania w sprawie poddanej pod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Szczegółowy tryb podejmowania przez Sejm uchwały o zarządzeniu referendum, jak również rozpatrywania wniosków, o których mowa w art. 61 ust. 1, określa regulamin Sejmu.</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63.  </w:t>
      </w:r>
      <w:r w:rsidRPr="005D224A">
        <w:rPr>
          <w:rFonts w:ascii="Arial Narrow" w:hAnsi="Arial Narrow"/>
          <w:color w:val="000000"/>
          <w:szCs w:val="24"/>
        </w:rPr>
        <w:t>1.  Sejm może postanowić o poddaniu określonej sprawy pod referendum z inicjatywy obywateli, którzy dla swojego wniosku uzyskają poparcie co najmniej 500.000 osób mających prawo udziału w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Referendum z inicjatywy obywateli nie może dotyczyć:</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wydatków i dochodów, w szczególności podatków oraz innych danin publicznych;</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obronności państwa;</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amnestii.</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Zgłoszenia wniosku, o którym mowa w ust. 1, dokonuje na piśmie pełnomocnik. Pełnomocnikiem jest osoba wskazana w pisemnym oświadczeniu pierwszych 15 osób z wykazu, o którym mowa w ust. 4.</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Do zgłoszenia wniosku załącza się wykaz obywateli popierających zgłoszenie, zawierający ich imiona, nazwiska, adresy zamieszkania, numery ewidencyjne PESEL, a także własnoręcznie złożone podpisy obywateli. Wzór wykazu ustala, w drodze uchwały, Państwowa Komisja Wyborcza.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5.  W przypadku uzasadnionych wątpliwości, co do prawidłowości złożenia wymaganej liczby podpisów w sposób, o którym mowa w ust. 4, Marszałek Sejmu zwraca się do Państwowej Komisji Wyborczej o stwierdzenie, czy jest złożona wymagana liczba podpisów.</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6.  Jeżeli po przeprowadzeniu postępowania, o którym mowa w ust. 5, liczba prawidłowo złożonych podpisów przez osoby popierające wniosek jest mniejsza niż ustawowo wymagana, Marszałek Sejmu wyznacza termin 14 dni na uzupełnienie brakującej liczby podpisów. Postanowienie w tej sprawie wraz z uzasadnieniem doręcza się niezwłocznie pełnomocnikowi.</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7.  W przypadku nieuzupełnienia podpisów w wyznaczonym terminie Marszałek Sejmu odmawia przyjęcia wniosku. Postanowienie w tej sprawie wraz z uzasadnieniem doręcza się niezwłocznie pełnomocnikowi.</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8.  Postanowienie, o którym mowa w ust. 6 i 7, może być przez pełnomocnika zaskarżone do Sądu Najwyższego w terminie 14 dni od dnia doręczenia. Sąd Najwyższy rozpoznaje skargę w terminie 30 dni w postępowaniu nieprocesowym, w składzie 3 sędziów. Od postanowienia Sądu Najwyższego nie przysługuje środek prawny.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lastRenderedPageBreak/>
        <w:t xml:space="preserve">Art.  64.  </w:t>
      </w:r>
      <w:r w:rsidRPr="005D224A">
        <w:rPr>
          <w:rFonts w:ascii="Arial Narrow" w:hAnsi="Arial Narrow"/>
          <w:color w:val="000000"/>
          <w:szCs w:val="24"/>
        </w:rPr>
        <w:t>1.  Prezydent Rzeczypospolitej przekazuje Senatowi projekt postanowienia o zarządzeniu referendum, zawierający treść pytań lub wariantów rozwiązania w sprawie poddanej pod referendum, a także termin jego przeprowadzenia.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Senat w terminie 14 dni od dnia przekazania projektu postanowienia Prezydenta Rzeczypospolitej, o którym mowa w ust. 1, podejmuje uchwałę w sprawie wyrażenia zgody na zarządzenie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Szczegółowy tryb wyrażania przez Senat zgody, o której mowa w ust. 2, określa regulamin Senatu.</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65.  </w:t>
      </w:r>
      <w:r w:rsidRPr="005D224A">
        <w:rPr>
          <w:rFonts w:ascii="Arial Narrow" w:hAnsi="Arial Narrow"/>
          <w:color w:val="000000"/>
          <w:szCs w:val="24"/>
        </w:rPr>
        <w:t>1.  Uchwała Sejmu lub postanowienie Prezydenta Rzeczypospolitej o zarządzeniu referendum zawiera:</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wskazanie podstawy prawnej zarządzenia referendum;</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treść pytań lub wariantów rozwiązania w sprawie poddanej pod referendum;</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termin przeprowadzenia referendum;</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4) kalendarz czynności związanych z przeprowadzeniem referendum.</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Jeżeli głosowanie w referendum przeprowadza się w ciągu dwóch dni, uchwała Sejmu lub postanowienie Prezydenta Rzeczypospolitej, o których mowa w ust. 1, określają również terminy przeprowadzenia głosowania.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Uchwałę Sejmu lub postanowienie Prezydenta Rzeczypospolitej, o których mowa w ust. 1, ogłasza się w Dzienniku Ustaw Rzeczypospolitej Polskiej.</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4.  Referendum przeprowadza się najpóźniej w 90 dniu od dnia ogłoszenia uchwały lub postanowienia, o których mowa w ust. 1.</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66.  </w:t>
      </w:r>
      <w:r w:rsidRPr="005D224A">
        <w:rPr>
          <w:rFonts w:ascii="Arial Narrow" w:hAnsi="Arial Narrow"/>
          <w:color w:val="000000"/>
          <w:szCs w:val="24"/>
        </w:rPr>
        <w:t>1.  Wynik referendum jest wiążący, jeżeli wzięła w nim udział więcej niż połowa uprawnionych do głosowania.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Rozstrzygnięcie w referendum następuje, jeżeli:</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w odpowiedzi na postawione pytanie oddano większość ważnych głosów pozytywnych albo negatywnych;</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na jeden z zaproponowanych wariantów rozwiązań w sprawie poddanej pod referendum oddano najwięcej ważnych głosów.</w:t>
      </w:r>
    </w:p>
    <w:p w:rsidR="00A20C06" w:rsidRDefault="005D224A" w:rsidP="00990F74">
      <w:pPr>
        <w:spacing w:after="0" w:line="360" w:lineRule="auto"/>
        <w:jc w:val="both"/>
        <w:rPr>
          <w:rFonts w:ascii="Arial Narrow" w:hAnsi="Arial Narrow"/>
          <w:color w:val="000000"/>
          <w:szCs w:val="24"/>
        </w:rPr>
      </w:pPr>
      <w:r w:rsidRPr="005D224A">
        <w:rPr>
          <w:rFonts w:ascii="Arial Narrow" w:hAnsi="Arial Narrow"/>
          <w:b/>
          <w:color w:val="000000"/>
          <w:szCs w:val="24"/>
        </w:rPr>
        <w:t xml:space="preserve">Art.  67.  </w:t>
      </w:r>
      <w:r w:rsidRPr="005D224A">
        <w:rPr>
          <w:rFonts w:ascii="Arial Narrow" w:hAnsi="Arial Narrow"/>
          <w:color w:val="000000"/>
          <w:szCs w:val="24"/>
        </w:rPr>
        <w:t>Właściwe organy państwowe podejmują niezwłocznie czynności w celu realizacji wiążącego wyniku referendum zgodnie z jego rozstrzygnięciem przez wydanie aktów normatywnych bądź podjęcie innych decyzji, nie później jednak niż w terminie 60 dni od dnia ogłoszenia uchwały Sądu Najwyższego o ważności referendum w Dzienniku Ustaw Rzeczypospolitej Polskiej.</w:t>
      </w:r>
    </w:p>
    <w:p w:rsidR="008A3CB9" w:rsidRPr="005D224A" w:rsidRDefault="008A3CB9" w:rsidP="00990F74">
      <w:pPr>
        <w:spacing w:after="0" w:line="360" w:lineRule="auto"/>
        <w:jc w:val="both"/>
        <w:rPr>
          <w:rFonts w:ascii="Arial Narrow" w:hAnsi="Arial Narrow"/>
          <w:szCs w:val="24"/>
        </w:rPr>
      </w:pPr>
      <w:r>
        <w:rPr>
          <w:rFonts w:ascii="Arial Narrow" w:hAnsi="Arial Narrow"/>
          <w:szCs w:val="24"/>
        </w:rPr>
        <w:t>(…)</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Rozdział  11</w:t>
      </w:r>
    </w:p>
    <w:p w:rsidR="00A20C06" w:rsidRPr="005D224A" w:rsidRDefault="005D224A" w:rsidP="00990F74">
      <w:pPr>
        <w:spacing w:after="0" w:line="360" w:lineRule="auto"/>
        <w:jc w:val="center"/>
        <w:rPr>
          <w:rFonts w:ascii="Arial Narrow" w:hAnsi="Arial Narrow"/>
          <w:szCs w:val="24"/>
        </w:rPr>
      </w:pPr>
      <w:r w:rsidRPr="005D224A">
        <w:rPr>
          <w:rFonts w:ascii="Arial Narrow" w:hAnsi="Arial Narrow"/>
          <w:b/>
          <w:color w:val="000000"/>
          <w:szCs w:val="24"/>
        </w:rPr>
        <w:t>Przepisy karne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80.  </w:t>
      </w:r>
      <w:r w:rsidRPr="005D224A">
        <w:rPr>
          <w:rFonts w:ascii="Arial Narrow" w:hAnsi="Arial Narrow"/>
          <w:color w:val="000000"/>
          <w:szCs w:val="24"/>
        </w:rPr>
        <w:t>Kto prowadzi kampanię referendalną:</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w lokalu komisji obwodowej lub na terenie budynku, w którym ten lokal się znajduje,</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na terenie zakładów pracy w sposób i w formach zakłócających ich normalne funkcjonowanie,</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na terenie urzędów administracji rządowej lub administracji samorządu terytorialnego oraz sądów,</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4) na terenie jednostek wojskowych i innych jednostek organizacyjnych podległych Ministrowi Obrony Narodowej lub oddziałów obrony cywilnej bądź skoszarowanych jednostek podległych ministrowi właściwemu do spraw wewnętrznych</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lastRenderedPageBreak/>
        <w:t>- podlega karze grzywny.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81.  </w:t>
      </w:r>
      <w:r w:rsidRPr="005D224A">
        <w:rPr>
          <w:rFonts w:ascii="Arial Narrow" w:hAnsi="Arial Narrow"/>
          <w:color w:val="000000"/>
          <w:szCs w:val="24"/>
        </w:rPr>
        <w:t>1.  Kto w związku z referendum:</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umieszcza plakaty i hasła dotyczące referendum na ścianach budynków, ogrodzeniach, latarniach, urządzeniach energetycznych, telekomunikacyjnych i innych bez zgody właściciela lub zarządcy,</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przy ustawianiu własnych urządzeń ogłoszeniowych w celu prowadzenia kampanii referendalnej narusza obowiązujące przepisy porządkowe,</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umieszcza plakaty i hasła dotyczące referendum w taki sposób, że nie można ich usunąć bez powodowania szkód</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 xml:space="preserve">- podlega karze grzywny. </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Tej samej karze podlega:</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osoba zobowiązana do usunięcia plakatów, haseł dotyczących referendum lub urządzeń ogłoszeniowych ustawionych w celu prowadzenia kampanii referendalnej, która w terminie 30 dni od dnia referendum nie usunie tych plakatów, haseł lub urządzeń;</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osoba będąca redaktorem w rozumieniu prawa prasowego, która dopuszcza do niewykonania obowiązku umieszczenia w informacjach, komunikatach, apelach i hasłach dotyczących referendum, ogłaszanych w prasie drukowanej lub w telewizji bądź radiu na koszt podmiotów biorących udział w kampanii referendalnej, wskazania, przez kogo są opłacane i od kogo pochodzą.</w:t>
      </w:r>
    </w:p>
    <w:p w:rsidR="00A20C06" w:rsidRPr="005D224A" w:rsidRDefault="005D224A" w:rsidP="00990F74">
      <w:pPr>
        <w:keepNext/>
        <w:keepLines/>
        <w:spacing w:after="0" w:line="360" w:lineRule="auto"/>
        <w:jc w:val="both"/>
        <w:rPr>
          <w:rFonts w:ascii="Arial Narrow" w:hAnsi="Arial Narrow"/>
          <w:szCs w:val="24"/>
        </w:rPr>
      </w:pPr>
      <w:r w:rsidRPr="005D224A">
        <w:rPr>
          <w:rFonts w:ascii="Arial Narrow" w:hAnsi="Arial Narrow"/>
          <w:b/>
          <w:color w:val="000000"/>
          <w:szCs w:val="24"/>
        </w:rPr>
        <w:t xml:space="preserve">Art.  82.  </w:t>
      </w:r>
      <w:r w:rsidRPr="005D224A">
        <w:rPr>
          <w:rFonts w:ascii="Arial Narrow" w:hAnsi="Arial Narrow"/>
          <w:color w:val="000000"/>
          <w:szCs w:val="24"/>
        </w:rPr>
        <w:t>Kto w związku z referendum nie umieszcza w materiałach dotyczących referendum oznaczenia, od kogo pochodzą</w:t>
      </w:r>
    </w:p>
    <w:p w:rsidR="00A20C06" w:rsidRPr="005D224A" w:rsidRDefault="005D224A" w:rsidP="00990F74">
      <w:pPr>
        <w:keepNext/>
        <w:keepLines/>
        <w:spacing w:after="0" w:line="360" w:lineRule="auto"/>
        <w:jc w:val="both"/>
        <w:rPr>
          <w:rFonts w:ascii="Arial Narrow" w:hAnsi="Arial Narrow"/>
          <w:szCs w:val="24"/>
        </w:rPr>
      </w:pPr>
      <w:r w:rsidRPr="005D224A">
        <w:rPr>
          <w:rFonts w:ascii="Arial Narrow" w:hAnsi="Arial Narrow"/>
          <w:color w:val="000000"/>
          <w:szCs w:val="24"/>
        </w:rPr>
        <w:t>- podlega karze grzywny.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83.  </w:t>
      </w:r>
      <w:r w:rsidRPr="005D224A">
        <w:rPr>
          <w:rFonts w:ascii="Arial Narrow" w:hAnsi="Arial Narrow"/>
          <w:color w:val="000000"/>
          <w:szCs w:val="24"/>
        </w:rPr>
        <w:t>1.  Kto zbiera podpisy osób popierających zgłoszenie wniosku do Sejmu w sprawie referendum z inicjatywy obywateli, stosując groźbę, podstęp lub jakąkolwiek inną formę nacisków zmierzających do uzyskania podpisów</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 podlega grzywnie od 1000 do 10 000 złotych.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Tej samej karze podlega, kto zbiera podpisy osób popierających wniosek, o którym mowa w ust. 1, na terenie jednostek wojskowych lub innych jednostek organizacyjnych podległych Ministrowi Obrony Narodowej albo oddziałów obrony cywilnej lub skoszarowanych jednostek podległych ministrowi właściwemu do spraw wewnętrznych.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3.  Kto udziela wynagrodzenia pieniężnego w zamian za zbieranie lub złożenie podpisu pod wnioskiem, o którym mowa w ust. 1</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 podlega grzywnie od 10 000 do 50 000 złotych.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84.  </w:t>
      </w:r>
      <w:r w:rsidRPr="005D224A">
        <w:rPr>
          <w:rFonts w:ascii="Arial Narrow" w:hAnsi="Arial Narrow"/>
          <w:color w:val="000000"/>
          <w:szCs w:val="24"/>
        </w:rPr>
        <w:t>Kto w okresie od zakończenia kampanii referendalnej aż do zakończenia głosowania zwołuje zgromadzenia, organizuje pochody lub manifestacje, wygłasza przemówienia, rozdaje ulotki lub w jakikolwiek inny sposób prowadzi kampanię referendalną</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 podlega karze grzywny.</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85.  </w:t>
      </w:r>
      <w:r w:rsidRPr="005D224A">
        <w:rPr>
          <w:rFonts w:ascii="Arial Narrow" w:hAnsi="Arial Narrow"/>
          <w:color w:val="000000"/>
          <w:szCs w:val="24"/>
        </w:rPr>
        <w:t xml:space="preserve">Kto w okresie od zakończenia kampanii referendalnej aż do zakończenia głosowania podaje do wiadomości publicznej wyniki badań (sondaży) opinii publicznej dotyczących przewidywanych </w:t>
      </w:r>
      <w:proofErr w:type="spellStart"/>
      <w:r w:rsidRPr="005D224A">
        <w:rPr>
          <w:rFonts w:ascii="Arial Narrow" w:hAnsi="Arial Narrow"/>
          <w:color w:val="000000"/>
          <w:szCs w:val="24"/>
        </w:rPr>
        <w:t>zachowań</w:t>
      </w:r>
      <w:proofErr w:type="spellEnd"/>
      <w:r w:rsidRPr="005D224A">
        <w:rPr>
          <w:rFonts w:ascii="Arial Narrow" w:hAnsi="Arial Narrow"/>
          <w:color w:val="000000"/>
          <w:szCs w:val="24"/>
        </w:rPr>
        <w:t xml:space="preserve"> głosujących w referendum i przewidywanych wyników referendum lub wyniki sondaży przeprowadzanych w dniu głosowania</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lastRenderedPageBreak/>
        <w:t>- podlega grzywnie od 500 000 do 1 000 000 złotych.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86.  </w:t>
      </w:r>
      <w:r w:rsidRPr="005D224A">
        <w:rPr>
          <w:rFonts w:ascii="Arial Narrow" w:hAnsi="Arial Narrow"/>
          <w:color w:val="000000"/>
          <w:szCs w:val="24"/>
        </w:rPr>
        <w:t>Kto w ramach prowadzonej kampanii referendalnej organizuje gry losowe lub konkursy, w których wygranymi są nagrody pieniężne lub przedmioty o wartości wyższej niż wartość przedmiotów zwyczajowo używanych w celach reklamowych lub promocyjnych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 podlega grzywnie od 5 000 do 50 000 złotych.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87.  </w:t>
      </w:r>
      <w:r w:rsidRPr="005D224A">
        <w:rPr>
          <w:rFonts w:ascii="Arial Narrow" w:hAnsi="Arial Narrow"/>
          <w:color w:val="000000"/>
          <w:szCs w:val="24"/>
        </w:rPr>
        <w:t>Kto podaje lub dostarcza w ramach prowadzonej kampanii referendalnej napoje alkoholowe</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 podlega grzywnie od 5 000 do 50 000 złotych.</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88.  </w:t>
      </w:r>
      <w:r w:rsidRPr="005D224A">
        <w:rPr>
          <w:rFonts w:ascii="Arial Narrow" w:hAnsi="Arial Narrow"/>
          <w:color w:val="000000"/>
          <w:szCs w:val="24"/>
        </w:rPr>
        <w:t>Do postępowania w sprawach, o których mowa w art. 80-82 i art. 84, stosuje się przepisy o postępowaniu w sprawach o wykroczenia.</w:t>
      </w:r>
    </w:p>
    <w:p w:rsidR="00A20C06" w:rsidRPr="005D224A" w:rsidRDefault="005D224A" w:rsidP="00990F74">
      <w:pPr>
        <w:keepNext/>
        <w:keepLines/>
        <w:spacing w:after="0" w:line="360" w:lineRule="auto"/>
        <w:jc w:val="center"/>
        <w:rPr>
          <w:rFonts w:ascii="Arial Narrow" w:hAnsi="Arial Narrow"/>
          <w:szCs w:val="24"/>
        </w:rPr>
      </w:pPr>
      <w:r w:rsidRPr="005D224A">
        <w:rPr>
          <w:rFonts w:ascii="Arial Narrow" w:hAnsi="Arial Narrow"/>
          <w:b/>
          <w:color w:val="000000"/>
          <w:szCs w:val="24"/>
        </w:rPr>
        <w:t>Rozdział  12</w:t>
      </w:r>
    </w:p>
    <w:p w:rsidR="00A20C06" w:rsidRPr="005D224A" w:rsidRDefault="005D224A" w:rsidP="00990F74">
      <w:pPr>
        <w:keepNext/>
        <w:keepLines/>
        <w:spacing w:after="0" w:line="360" w:lineRule="auto"/>
        <w:jc w:val="center"/>
        <w:rPr>
          <w:rFonts w:ascii="Arial Narrow" w:hAnsi="Arial Narrow"/>
          <w:szCs w:val="24"/>
        </w:rPr>
      </w:pPr>
      <w:r w:rsidRPr="005D224A">
        <w:rPr>
          <w:rFonts w:ascii="Arial Narrow" w:hAnsi="Arial Narrow"/>
          <w:b/>
          <w:color w:val="000000"/>
          <w:szCs w:val="24"/>
        </w:rPr>
        <w:t>Przepisy szczególne</w:t>
      </w:r>
    </w:p>
    <w:p w:rsidR="00A20C06" w:rsidRPr="00AD18B6" w:rsidRDefault="00AD18B6" w:rsidP="00990F74">
      <w:pPr>
        <w:spacing w:after="0" w:line="360" w:lineRule="auto"/>
        <w:jc w:val="both"/>
        <w:rPr>
          <w:rFonts w:ascii="Arial Narrow" w:hAnsi="Arial Narrow"/>
          <w:szCs w:val="24"/>
        </w:rPr>
      </w:pPr>
      <w:r w:rsidRPr="00AD18B6">
        <w:rPr>
          <w:rFonts w:ascii="Arial Narrow" w:hAnsi="Arial Narrow"/>
          <w:color w:val="000000"/>
          <w:szCs w:val="24"/>
        </w:rPr>
        <w:t>(…)</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b/>
          <w:color w:val="000000"/>
          <w:szCs w:val="24"/>
        </w:rPr>
        <w:t xml:space="preserve">Art.  90.  </w:t>
      </w:r>
      <w:r w:rsidRPr="005D224A">
        <w:rPr>
          <w:rFonts w:ascii="Arial Narrow" w:hAnsi="Arial Narrow"/>
          <w:color w:val="000000"/>
          <w:szCs w:val="24"/>
        </w:rPr>
        <w:t>1.  W przypadku przeprowadzenia referendum w tym samym dniu, w którym odbywają się wybory do Sejmu i do Senatu lub wybory Prezydenta Rzeczypospolitej:</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1) głosowanie przeprowadza się w obwodach głosowania utworzonych dla właściwych wyborów i na podstawie spisów wyborców sporządzonych dla tych wyborów;</w:t>
      </w:r>
    </w:p>
    <w:p w:rsidR="00A20C06" w:rsidRPr="00465176"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 xml:space="preserve">1a) zaświadczenia o prawie do głosowania wydaje się zgodnie z przepisami dotyczącymi właściwych </w:t>
      </w:r>
      <w:r w:rsidRPr="00465176">
        <w:rPr>
          <w:rFonts w:ascii="Arial Narrow" w:hAnsi="Arial Narrow"/>
          <w:color w:val="000000"/>
          <w:szCs w:val="24"/>
        </w:rPr>
        <w:t>wyborów; zaświadczenie upoważnia do wzięcia udziału we wskazanym w nim głosowaniu w wyborach oraz w odbywającym się w tym samym terminie głosowaniu w referendum;</w:t>
      </w:r>
    </w:p>
    <w:p w:rsidR="00465176" w:rsidRPr="00465176" w:rsidRDefault="00465176" w:rsidP="00990F74">
      <w:pPr>
        <w:spacing w:after="0" w:line="360" w:lineRule="auto"/>
        <w:ind w:left="373"/>
        <w:jc w:val="both"/>
        <w:rPr>
          <w:rFonts w:ascii="Arial Narrow" w:hAnsi="Arial Narrow"/>
        </w:rPr>
      </w:pPr>
      <w:r w:rsidRPr="00465176">
        <w:rPr>
          <w:rFonts w:ascii="Arial Narrow" w:hAnsi="Arial Narrow"/>
        </w:rPr>
        <w:t xml:space="preserve">1b) informacje o numerach i granicach obwodów głosowania oraz siedzibach obwodowych komisji wyborczych podaje się w terminach określonych w ustawie z dnia 5 stycznia 2011 r. – Kodeks wyborczy; </w:t>
      </w:r>
    </w:p>
    <w:p w:rsidR="00465176" w:rsidRPr="00465176" w:rsidRDefault="00465176" w:rsidP="00990F74">
      <w:pPr>
        <w:spacing w:after="0" w:line="360" w:lineRule="auto"/>
        <w:ind w:left="373"/>
        <w:jc w:val="both"/>
        <w:rPr>
          <w:rFonts w:ascii="Arial Narrow" w:hAnsi="Arial Narrow"/>
        </w:rPr>
      </w:pPr>
      <w:r w:rsidRPr="00465176">
        <w:rPr>
          <w:rFonts w:ascii="Arial Narrow" w:hAnsi="Arial Narrow"/>
        </w:rPr>
        <w:t xml:space="preserve">1c) głosowanie przeprowadza się w godzinach głosowania określonych w ustawie z dnia 5 stycznia 2011 r. – Kodeks wyborczy; </w:t>
      </w:r>
    </w:p>
    <w:p w:rsidR="00465176" w:rsidRPr="00465176" w:rsidRDefault="00465176" w:rsidP="00990F74">
      <w:pPr>
        <w:spacing w:after="0" w:line="360" w:lineRule="auto"/>
        <w:ind w:left="373"/>
        <w:jc w:val="both"/>
        <w:rPr>
          <w:rFonts w:ascii="Arial Narrow" w:hAnsi="Arial Narrow"/>
        </w:rPr>
      </w:pPr>
      <w:r w:rsidRPr="00465176">
        <w:rPr>
          <w:rFonts w:ascii="Arial Narrow" w:hAnsi="Arial Narrow"/>
        </w:rPr>
        <w:t xml:space="preserve">1d) zgłoszenie zamiaru głosowania korespondencyjnego we właściwych wyborach dotyczy również głosowania korespondencyjnego w referendum; </w:t>
      </w:r>
    </w:p>
    <w:p w:rsidR="00465176" w:rsidRPr="00465176" w:rsidRDefault="00465176" w:rsidP="00990F74">
      <w:pPr>
        <w:spacing w:after="0" w:line="360" w:lineRule="auto"/>
        <w:ind w:left="373"/>
        <w:jc w:val="both"/>
        <w:rPr>
          <w:rFonts w:ascii="Arial Narrow" w:hAnsi="Arial Narrow"/>
          <w:color w:val="000000"/>
          <w:szCs w:val="24"/>
        </w:rPr>
      </w:pPr>
      <w:r w:rsidRPr="00465176">
        <w:rPr>
          <w:rFonts w:ascii="Arial Narrow" w:hAnsi="Arial Narrow"/>
        </w:rPr>
        <w:t>1e) wniosek o sporządzenie aktu pełnomocnictwa do głosowania we właściwych wyborach dotyczy również referendum, a akt pełnomocnictwa do głosowania sporządzony w związku ze wskazanymi w nim wyborami dotyczy również głosowania w referendum;</w:t>
      </w:r>
    </w:p>
    <w:p w:rsidR="00A20C06" w:rsidRPr="00465176" w:rsidRDefault="005D224A" w:rsidP="00990F74">
      <w:pPr>
        <w:spacing w:after="0" w:line="360" w:lineRule="auto"/>
        <w:ind w:left="373"/>
        <w:jc w:val="both"/>
        <w:rPr>
          <w:rFonts w:ascii="Arial Narrow" w:hAnsi="Arial Narrow"/>
          <w:szCs w:val="24"/>
        </w:rPr>
      </w:pPr>
      <w:r w:rsidRPr="00465176">
        <w:rPr>
          <w:rFonts w:ascii="Arial Narrow" w:hAnsi="Arial Narrow"/>
          <w:color w:val="000000"/>
          <w:szCs w:val="24"/>
        </w:rPr>
        <w:t>2) zadania komisarzy wyborczych i komisji obwodowych wykonują odpowiednio okręgowe i obwodowe komisje wyborcze powołane do przeprowadzenia właściwych wyborów;</w:t>
      </w:r>
    </w:p>
    <w:p w:rsidR="00A20C06" w:rsidRPr="00465176" w:rsidRDefault="005D224A" w:rsidP="00990F74">
      <w:pPr>
        <w:spacing w:after="0" w:line="360" w:lineRule="auto"/>
        <w:ind w:left="373"/>
        <w:jc w:val="both"/>
        <w:rPr>
          <w:rFonts w:ascii="Arial Narrow" w:hAnsi="Arial Narrow"/>
          <w:szCs w:val="24"/>
        </w:rPr>
      </w:pPr>
      <w:r w:rsidRPr="00465176">
        <w:rPr>
          <w:rFonts w:ascii="Arial Narrow" w:hAnsi="Arial Narrow"/>
          <w:color w:val="000000"/>
          <w:szCs w:val="24"/>
        </w:rPr>
        <w:t>3) do kampanii referendalnej stosuje się przepisy rozdziału 6.</w:t>
      </w:r>
    </w:p>
    <w:p w:rsidR="00A20C06" w:rsidRPr="005D224A" w:rsidRDefault="00AD18B6" w:rsidP="00990F74">
      <w:pPr>
        <w:spacing w:after="0" w:line="360" w:lineRule="auto"/>
        <w:ind w:left="373"/>
        <w:jc w:val="both"/>
        <w:rPr>
          <w:rFonts w:ascii="Arial Narrow" w:hAnsi="Arial Narrow"/>
          <w:szCs w:val="24"/>
        </w:rPr>
      </w:pPr>
      <w:r>
        <w:rPr>
          <w:rFonts w:ascii="Arial Narrow" w:hAnsi="Arial Narrow"/>
          <w:color w:val="000000"/>
          <w:szCs w:val="24"/>
        </w:rPr>
        <w:t>(…)</w:t>
      </w:r>
    </w:p>
    <w:p w:rsidR="00A20C06" w:rsidRPr="005D224A" w:rsidRDefault="005D224A" w:rsidP="00990F74">
      <w:pPr>
        <w:spacing w:after="0" w:line="360" w:lineRule="auto"/>
        <w:jc w:val="both"/>
        <w:rPr>
          <w:rFonts w:ascii="Arial Narrow" w:hAnsi="Arial Narrow"/>
          <w:szCs w:val="24"/>
        </w:rPr>
      </w:pPr>
      <w:r w:rsidRPr="005D224A">
        <w:rPr>
          <w:rFonts w:ascii="Arial Narrow" w:hAnsi="Arial Narrow"/>
          <w:color w:val="000000"/>
          <w:szCs w:val="24"/>
        </w:rPr>
        <w:t>2.  Krajowa Rada Radiofonii i Telewizji, po zasięgnięciu opinii Państwowej Komisji Wyborczej, określi, w drodze rozporządzenia, szczegółowe zasady i sposób łącznego prowadzenia kampanii referendalnej oraz kampanii wyborczej w programach radiowych i telewizyjnych, uwzględniając w szczególności:</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lastRenderedPageBreak/>
        <w:t>1) tryb postępowania w sprawach podziału czasu rozpowszechniania audycji referendalnych i audycji wyborczych w programach Telewizji Polskiej i Polskiego Radia;</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2) sposób przygotowania i rozpowszechniania audycji referendalnych i audycji wyborczych;</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3) sposób upowszechniania informacji o terminach rozpowszechniania audycji referendalnych i audycji wyborczych;</w:t>
      </w:r>
    </w:p>
    <w:p w:rsidR="00A20C06" w:rsidRPr="005D224A" w:rsidRDefault="005D224A" w:rsidP="00990F74">
      <w:pPr>
        <w:spacing w:after="0" w:line="360" w:lineRule="auto"/>
        <w:ind w:left="373"/>
        <w:jc w:val="both"/>
        <w:rPr>
          <w:rFonts w:ascii="Arial Narrow" w:hAnsi="Arial Narrow"/>
          <w:szCs w:val="24"/>
        </w:rPr>
      </w:pPr>
      <w:r w:rsidRPr="005D224A">
        <w:rPr>
          <w:rFonts w:ascii="Arial Narrow" w:hAnsi="Arial Narrow"/>
          <w:color w:val="000000"/>
          <w:szCs w:val="24"/>
        </w:rPr>
        <w:t>4) terminy wynikające z kalendarza czynności związanych z przeprowadzeniem referendum oraz z kalendarza wyborczego.</w:t>
      </w:r>
    </w:p>
    <w:p w:rsidR="00A20C06" w:rsidRPr="00AD18B6" w:rsidRDefault="00AD18B6" w:rsidP="00990F74">
      <w:pPr>
        <w:spacing w:after="0" w:line="360" w:lineRule="auto"/>
        <w:jc w:val="both"/>
        <w:rPr>
          <w:rFonts w:ascii="Arial Narrow" w:hAnsi="Arial Narrow"/>
          <w:szCs w:val="24"/>
        </w:rPr>
      </w:pPr>
      <w:r w:rsidRPr="00AD18B6">
        <w:rPr>
          <w:rFonts w:ascii="Arial Narrow" w:hAnsi="Arial Narrow"/>
          <w:color w:val="000000"/>
          <w:szCs w:val="24"/>
        </w:rPr>
        <w:t>(…)</w:t>
      </w:r>
    </w:p>
    <w:p w:rsidR="00A20C06" w:rsidRDefault="005D224A" w:rsidP="00990F74">
      <w:pPr>
        <w:spacing w:after="0" w:line="360" w:lineRule="auto"/>
        <w:jc w:val="both"/>
        <w:rPr>
          <w:rFonts w:ascii="Arial Narrow" w:hAnsi="Arial Narrow"/>
          <w:color w:val="000000"/>
          <w:szCs w:val="24"/>
        </w:rPr>
      </w:pPr>
      <w:r w:rsidRPr="005D224A">
        <w:rPr>
          <w:rFonts w:ascii="Arial Narrow" w:hAnsi="Arial Narrow"/>
          <w:b/>
          <w:color w:val="000000"/>
          <w:szCs w:val="24"/>
        </w:rPr>
        <w:t xml:space="preserve">Art.  92.  </w:t>
      </w:r>
      <w:r w:rsidRPr="005D224A">
        <w:rPr>
          <w:rFonts w:ascii="Arial Narrow" w:hAnsi="Arial Narrow"/>
          <w:color w:val="000000"/>
          <w:szCs w:val="24"/>
        </w:rPr>
        <w:t xml:space="preserve">1.  W sprawach nieuregulowanych niniejszą ustawą stosuje się odpowiednio przepisy </w:t>
      </w:r>
      <w:r w:rsidRPr="005D224A">
        <w:rPr>
          <w:rFonts w:ascii="Arial Narrow" w:hAnsi="Arial Narrow"/>
          <w:color w:val="1B1B1B"/>
          <w:szCs w:val="24"/>
        </w:rPr>
        <w:t>ustawy</w:t>
      </w:r>
      <w:r w:rsidRPr="005D224A">
        <w:rPr>
          <w:rFonts w:ascii="Arial Narrow" w:hAnsi="Arial Narrow"/>
          <w:color w:val="000000"/>
          <w:szCs w:val="24"/>
        </w:rPr>
        <w:t xml:space="preserve"> z dnia 5 stycznia 2011 r. - Kodeks wyborczy.</w:t>
      </w:r>
    </w:p>
    <w:p w:rsidR="008A3CB9" w:rsidRPr="005D224A" w:rsidRDefault="008A3CB9" w:rsidP="00ED7EBD">
      <w:pPr>
        <w:spacing w:after="0" w:line="240" w:lineRule="auto"/>
        <w:jc w:val="both"/>
        <w:rPr>
          <w:rFonts w:ascii="Arial Narrow" w:hAnsi="Arial Narrow"/>
          <w:szCs w:val="24"/>
        </w:rPr>
      </w:pPr>
      <w:r>
        <w:rPr>
          <w:rFonts w:ascii="Arial Narrow" w:hAnsi="Arial Narrow"/>
          <w:szCs w:val="24"/>
        </w:rPr>
        <w:t>(…)</w:t>
      </w:r>
    </w:p>
    <w:sectPr w:rsidR="008A3CB9" w:rsidRPr="005D224A" w:rsidSect="00AD18B6">
      <w:headerReference w:type="default" r:id="rId8"/>
      <w:pgSz w:w="11907" w:h="16839" w:code="9"/>
      <w:pgMar w:top="851" w:right="851" w:bottom="851" w:left="851"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58D" w:rsidRDefault="003F458D" w:rsidP="000B3396">
      <w:pPr>
        <w:spacing w:after="0" w:line="240" w:lineRule="auto"/>
      </w:pPr>
      <w:r>
        <w:separator/>
      </w:r>
    </w:p>
  </w:endnote>
  <w:endnote w:type="continuationSeparator" w:id="0">
    <w:p w:rsidR="003F458D" w:rsidRDefault="003F458D" w:rsidP="000B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58D" w:rsidRDefault="003F458D" w:rsidP="000B3396">
      <w:pPr>
        <w:spacing w:after="0" w:line="240" w:lineRule="auto"/>
      </w:pPr>
      <w:r>
        <w:separator/>
      </w:r>
    </w:p>
  </w:footnote>
  <w:footnote w:type="continuationSeparator" w:id="0">
    <w:p w:rsidR="003F458D" w:rsidRDefault="003F458D" w:rsidP="000B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58D" w:rsidRPr="00990F74" w:rsidRDefault="003F458D" w:rsidP="00990F74">
    <w:pPr>
      <w:pStyle w:val="Nagwek"/>
      <w:spacing w:after="240" w:line="240" w:lineRule="auto"/>
      <w:jc w:val="center"/>
      <w:rPr>
        <w:rFonts w:ascii="Arial Narrow" w:hAnsi="Arial Narrow"/>
        <w:szCs w:val="24"/>
      </w:rPr>
    </w:pPr>
    <w:r w:rsidRPr="00990F74">
      <w:rPr>
        <w:rFonts w:ascii="Arial Narrow" w:hAnsi="Arial Narrow"/>
        <w:szCs w:val="24"/>
      </w:rPr>
      <w:t xml:space="preserve">- </w:t>
    </w:r>
    <w:sdt>
      <w:sdtPr>
        <w:rPr>
          <w:rFonts w:ascii="Arial Narrow" w:hAnsi="Arial Narrow"/>
          <w:szCs w:val="24"/>
        </w:rPr>
        <w:id w:val="-282193271"/>
        <w:docPartObj>
          <w:docPartGallery w:val="Page Numbers (Top of Page)"/>
          <w:docPartUnique/>
        </w:docPartObj>
      </w:sdtPr>
      <w:sdtEndPr/>
      <w:sdtContent>
        <w:r w:rsidRPr="00990F74">
          <w:rPr>
            <w:rFonts w:ascii="Arial Narrow" w:hAnsi="Arial Narrow"/>
            <w:szCs w:val="24"/>
          </w:rPr>
          <w:fldChar w:fldCharType="begin"/>
        </w:r>
        <w:r w:rsidRPr="00990F74">
          <w:rPr>
            <w:rFonts w:ascii="Arial Narrow" w:hAnsi="Arial Narrow"/>
            <w:szCs w:val="24"/>
          </w:rPr>
          <w:instrText>PAGE   \* MERGEFORMAT</w:instrText>
        </w:r>
        <w:r w:rsidRPr="00990F74">
          <w:rPr>
            <w:rFonts w:ascii="Arial Narrow" w:hAnsi="Arial Narrow"/>
            <w:szCs w:val="24"/>
          </w:rPr>
          <w:fldChar w:fldCharType="separate"/>
        </w:r>
        <w:r w:rsidRPr="00990F74">
          <w:rPr>
            <w:rFonts w:ascii="Arial Narrow" w:hAnsi="Arial Narrow"/>
            <w:szCs w:val="24"/>
          </w:rPr>
          <w:t>2</w:t>
        </w:r>
        <w:r w:rsidRPr="00990F74">
          <w:rPr>
            <w:rFonts w:ascii="Arial Narrow" w:hAnsi="Arial Narrow"/>
            <w:szCs w:val="24"/>
          </w:rPr>
          <w:fldChar w:fldCharType="end"/>
        </w:r>
        <w:r w:rsidRPr="00990F74">
          <w:rPr>
            <w:rFonts w:ascii="Arial Narrow" w:hAnsi="Arial Narrow"/>
            <w:szCs w:val="24"/>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52E"/>
    <w:multiLevelType w:val="multilevel"/>
    <w:tmpl w:val="3954DC2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012B6E"/>
    <w:multiLevelType w:val="hybridMultilevel"/>
    <w:tmpl w:val="318640E6"/>
    <w:lvl w:ilvl="0" w:tplc="00A06294">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06"/>
    <w:rsid w:val="000B3396"/>
    <w:rsid w:val="0023723F"/>
    <w:rsid w:val="00313989"/>
    <w:rsid w:val="00327D0C"/>
    <w:rsid w:val="00380876"/>
    <w:rsid w:val="003F458D"/>
    <w:rsid w:val="00465176"/>
    <w:rsid w:val="00562635"/>
    <w:rsid w:val="005D224A"/>
    <w:rsid w:val="006125DA"/>
    <w:rsid w:val="007C654D"/>
    <w:rsid w:val="008A3CB9"/>
    <w:rsid w:val="00990F74"/>
    <w:rsid w:val="00A20C06"/>
    <w:rsid w:val="00A45C47"/>
    <w:rsid w:val="00A8293B"/>
    <w:rsid w:val="00AC731C"/>
    <w:rsid w:val="00AD18B6"/>
    <w:rsid w:val="00E66398"/>
    <w:rsid w:val="00E81B5E"/>
    <w:rsid w:val="00ED7EBD"/>
    <w:rsid w:val="00F76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112C"/>
  <w15:docId w15:val="{17D4444B-3804-410F-A573-078877F8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0B33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3396"/>
    <w:rPr>
      <w:rFonts w:ascii="Times New Roman" w:eastAsia="Times New Roman" w:hAnsi="Times New Roman" w:cs="Times New Roman"/>
    </w:rPr>
  </w:style>
  <w:style w:type="paragraph" w:customStyle="1" w:styleId="text-justify">
    <w:name w:val="text-justify"/>
    <w:basedOn w:val="Normalny"/>
    <w:rsid w:val="00562635"/>
    <w:pPr>
      <w:spacing w:before="100" w:beforeAutospacing="1" w:after="100" w:afterAutospacing="1" w:line="240" w:lineRule="auto"/>
    </w:pPr>
    <w:rPr>
      <w:szCs w:val="24"/>
    </w:rPr>
  </w:style>
  <w:style w:type="paragraph" w:styleId="Akapitzlist">
    <w:name w:val="List Paragraph"/>
    <w:basedOn w:val="Normalny"/>
    <w:uiPriority w:val="99"/>
    <w:rsid w:val="00465176"/>
    <w:pPr>
      <w:ind w:left="720"/>
      <w:contextualSpacing/>
    </w:pPr>
  </w:style>
  <w:style w:type="paragraph" w:styleId="Tekstdymka">
    <w:name w:val="Balloon Text"/>
    <w:basedOn w:val="Normalny"/>
    <w:link w:val="TekstdymkaZnak"/>
    <w:uiPriority w:val="99"/>
    <w:semiHidden/>
    <w:unhideWhenUsed/>
    <w:rsid w:val="003808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8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17291">
      <w:bodyDiv w:val="1"/>
      <w:marLeft w:val="0"/>
      <w:marRight w:val="0"/>
      <w:marTop w:val="0"/>
      <w:marBottom w:val="0"/>
      <w:divBdr>
        <w:top w:val="none" w:sz="0" w:space="0" w:color="auto"/>
        <w:left w:val="none" w:sz="0" w:space="0" w:color="auto"/>
        <w:bottom w:val="none" w:sz="0" w:space="0" w:color="auto"/>
        <w:right w:val="none" w:sz="0" w:space="0" w:color="auto"/>
      </w:divBdr>
    </w:div>
    <w:div w:id="1734766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901A-FE7A-4248-AFF8-7214E293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7517</Words>
  <Characters>45102</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52514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Lisiak</dc:creator>
  <cp:lastModifiedBy>Marcin Lisiak</cp:lastModifiedBy>
  <cp:revision>4</cp:revision>
  <cp:lastPrinted>2023-08-29T10:57:00Z</cp:lastPrinted>
  <dcterms:created xsi:type="dcterms:W3CDTF">2023-08-29T10:26:00Z</dcterms:created>
  <dcterms:modified xsi:type="dcterms:W3CDTF">2023-08-29T11:24:00Z</dcterms:modified>
</cp:coreProperties>
</file>